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FE53935" w:rsidR="004D4AFB" w:rsidRDefault="00206BB8">
      <w:pPr>
        <w:pStyle w:val="Heading1"/>
        <w:tabs>
          <w:tab w:val="center" w:pos="4680"/>
          <w:tab w:val="right" w:pos="9360"/>
        </w:tabs>
        <w:rPr>
          <w:rFonts w:ascii="Arial" w:eastAsia="Arial" w:hAnsi="Arial" w:cs="Arial"/>
          <w:b w:val="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 w:val="0"/>
          <w:u w:val="single"/>
        </w:rPr>
        <w:t>ITEM 765.21</w:t>
      </w:r>
      <w:r>
        <w:rPr>
          <w:rFonts w:ascii="Arial" w:eastAsia="Arial" w:hAnsi="Arial" w:cs="Arial"/>
          <w:b w:val="0"/>
        </w:rPr>
        <w:tab/>
      </w:r>
      <w:sdt>
        <w:sdtPr>
          <w:tag w:val="goog_rdk_1"/>
          <w:id w:val="-1051231652"/>
        </w:sdtPr>
        <w:sdtEndPr/>
        <w:sdtContent/>
      </w:sdt>
      <w:r>
        <w:rPr>
          <w:rFonts w:ascii="Arial" w:eastAsia="Arial" w:hAnsi="Arial" w:cs="Arial"/>
          <w:b w:val="0"/>
          <w:u w:val="single"/>
        </w:rPr>
        <w:t>ANNUAL COVER CROP FOR NATIVE SEEDING</w:t>
      </w:r>
      <w:r>
        <w:rPr>
          <w:rFonts w:ascii="Arial" w:eastAsia="Arial" w:hAnsi="Arial" w:cs="Arial"/>
          <w:b w:val="0"/>
        </w:rPr>
        <w:tab/>
      </w:r>
      <w:r w:rsidR="00C32104">
        <w:rPr>
          <w:rFonts w:ascii="Arial" w:eastAsia="Arial" w:hAnsi="Arial" w:cs="Arial"/>
          <w:b w:val="0"/>
          <w:u w:val="single"/>
        </w:rPr>
        <w:t>SQUARE YARD</w:t>
      </w:r>
    </w:p>
    <w:p w14:paraId="00000002" w14:textId="77777777" w:rsidR="004D4AFB" w:rsidRDefault="004D4A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</w:rPr>
      </w:pPr>
    </w:p>
    <w:p w14:paraId="00000003" w14:textId="77777777" w:rsidR="004D4AFB" w:rsidRDefault="00206B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GENERAL</w:t>
      </w:r>
    </w:p>
    <w:p w14:paraId="00000004" w14:textId="77777777" w:rsidR="004D4AFB" w:rsidRDefault="004D4A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</w:rPr>
      </w:pPr>
    </w:p>
    <w:p w14:paraId="00000005" w14:textId="77777777" w:rsidR="004D4AFB" w:rsidRDefault="00206B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Work under this item shall conform to the relevant provisions of Subsection 765 of the Standard Specifications and the following. </w:t>
      </w:r>
    </w:p>
    <w:p w14:paraId="00000006" w14:textId="77777777" w:rsidR="004D4AFB" w:rsidRDefault="004D4A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</w:rPr>
      </w:pPr>
    </w:p>
    <w:p w14:paraId="00000007" w14:textId="3A93DB53" w:rsidR="004D4AFB" w:rsidRDefault="00206B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Work consists of furnishing </w:t>
      </w:r>
      <w:r w:rsidR="00D20D5E">
        <w:rPr>
          <w:rFonts w:ascii="Arial" w:eastAsia="Arial" w:hAnsi="Arial" w:cs="Arial"/>
        </w:rPr>
        <w:t xml:space="preserve">and installing </w:t>
      </w:r>
      <w:r>
        <w:rPr>
          <w:rFonts w:ascii="Arial" w:eastAsia="Arial" w:hAnsi="Arial" w:cs="Arial"/>
        </w:rPr>
        <w:t xml:space="preserve">the appropriate annual grass to be seeded as a cover crop in conjunction with </w:t>
      </w:r>
      <w:r w:rsidR="00B974AD">
        <w:rPr>
          <w:rFonts w:ascii="Arial" w:eastAsia="Arial" w:hAnsi="Arial" w:cs="Arial"/>
        </w:rPr>
        <w:t>native</w:t>
      </w:r>
      <w:r>
        <w:rPr>
          <w:rFonts w:ascii="Arial" w:eastAsia="Arial" w:hAnsi="Arial" w:cs="Arial"/>
        </w:rPr>
        <w:t xml:space="preserve"> seedin</w:t>
      </w:r>
      <w:r w:rsidR="00D20D5E">
        <w:rPr>
          <w:rFonts w:ascii="Arial" w:eastAsia="Arial" w:hAnsi="Arial" w:cs="Arial"/>
        </w:rPr>
        <w:t>g</w:t>
      </w:r>
      <w:r>
        <w:rPr>
          <w:rFonts w:ascii="Arial" w:eastAsia="Arial" w:hAnsi="Arial" w:cs="Arial"/>
        </w:rPr>
        <w:t xml:space="preserve"> at the rate specified herein.</w:t>
      </w:r>
    </w:p>
    <w:p w14:paraId="00000008" w14:textId="77777777" w:rsidR="004D4AFB" w:rsidRDefault="004D4AFB">
      <w:pPr>
        <w:rPr>
          <w:rFonts w:ascii="Arial" w:eastAsia="Arial" w:hAnsi="Arial" w:cs="Arial"/>
        </w:rPr>
      </w:pPr>
    </w:p>
    <w:p w14:paraId="00000009" w14:textId="5B15C97B" w:rsidR="004D4AFB" w:rsidRDefault="00206B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cover crop shall be used when specified to prevent erosion until the permanent seed establishes. </w:t>
      </w:r>
    </w:p>
    <w:p w14:paraId="0000000A" w14:textId="77777777" w:rsidR="004D4AFB" w:rsidRDefault="004D4AFB">
      <w:pPr>
        <w:rPr>
          <w:rFonts w:ascii="Arial" w:eastAsia="Arial" w:hAnsi="Arial" w:cs="Arial"/>
        </w:rPr>
      </w:pPr>
    </w:p>
    <w:p w14:paraId="0000000B" w14:textId="77777777" w:rsidR="004D4AFB" w:rsidRDefault="00206B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Annual Rye (</w:t>
      </w:r>
      <w:r>
        <w:rPr>
          <w:rFonts w:ascii="Arial" w:eastAsia="Arial" w:hAnsi="Arial" w:cs="Arial"/>
          <w:i/>
        </w:rPr>
        <w:t xml:space="preserve">Lolium </w:t>
      </w:r>
      <w:proofErr w:type="spellStart"/>
      <w:r>
        <w:rPr>
          <w:rFonts w:ascii="Arial" w:eastAsia="Arial" w:hAnsi="Arial" w:cs="Arial"/>
          <w:i/>
        </w:rPr>
        <w:t>multiflorum</w:t>
      </w:r>
      <w:proofErr w:type="spellEnd"/>
      <w:r>
        <w:rPr>
          <w:rFonts w:ascii="Arial" w:eastAsia="Arial" w:hAnsi="Arial" w:cs="Arial"/>
        </w:rPr>
        <w:t xml:space="preserve">) will not be accepted as an annual cover crop. </w:t>
      </w:r>
    </w:p>
    <w:p w14:paraId="0000000C" w14:textId="77777777" w:rsidR="004D4AFB" w:rsidRDefault="004D4AFB">
      <w:pPr>
        <w:rPr>
          <w:rFonts w:ascii="Arial" w:eastAsia="Arial" w:hAnsi="Arial" w:cs="Arial"/>
        </w:rPr>
      </w:pPr>
    </w:p>
    <w:p w14:paraId="0000000D" w14:textId="33213B71" w:rsidR="004D4AFB" w:rsidRDefault="00206BB8">
      <w:pPr>
        <w:tabs>
          <w:tab w:val="left" w:pos="630"/>
          <w:tab w:val="left" w:pos="1980"/>
          <w:tab w:val="left" w:pos="3600"/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Using annual rye or exceeding the application rate such that a dense stand of annual grasses prevents germination of the </w:t>
      </w:r>
      <w:r w:rsidR="00B974AD">
        <w:rPr>
          <w:rFonts w:ascii="Arial" w:eastAsia="Arial" w:hAnsi="Arial" w:cs="Arial"/>
        </w:rPr>
        <w:t>native</w:t>
      </w:r>
      <w:r>
        <w:rPr>
          <w:rFonts w:ascii="Arial" w:eastAsia="Arial" w:hAnsi="Arial" w:cs="Arial"/>
        </w:rPr>
        <w:t xml:space="preserve"> grasses will require mowing of annual grasses. In this instance, mowing of cover crop will be incidental to this item.</w:t>
      </w:r>
    </w:p>
    <w:p w14:paraId="0000000E" w14:textId="77777777" w:rsidR="004D4AFB" w:rsidRDefault="004D4AFB">
      <w:pPr>
        <w:rPr>
          <w:rFonts w:ascii="Arial" w:eastAsia="Arial" w:hAnsi="Arial" w:cs="Arial"/>
        </w:rPr>
      </w:pPr>
    </w:p>
    <w:p w14:paraId="0000000F" w14:textId="77777777" w:rsidR="004D4AFB" w:rsidRDefault="00206BB8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SEED AND APPLICATION RATE</w:t>
      </w:r>
    </w:p>
    <w:p w14:paraId="00000010" w14:textId="77777777" w:rsidR="004D4AFB" w:rsidRDefault="004D4AFB">
      <w:pPr>
        <w:rPr>
          <w:rFonts w:ascii="Arial" w:eastAsia="Arial" w:hAnsi="Arial" w:cs="Arial"/>
        </w:rPr>
      </w:pPr>
    </w:p>
    <w:p w14:paraId="00000011" w14:textId="4C83CE3F" w:rsidR="004D4AFB" w:rsidRDefault="00206B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="00D20D5E">
        <w:rPr>
          <w:rFonts w:ascii="Arial" w:eastAsia="Arial" w:hAnsi="Arial" w:cs="Arial"/>
        </w:rPr>
        <w:t>pply</w:t>
      </w:r>
      <w:r>
        <w:rPr>
          <w:rFonts w:ascii="Arial" w:eastAsia="Arial" w:hAnsi="Arial" w:cs="Arial"/>
        </w:rPr>
        <w:t xml:space="preserve"> 30 pounds/acre </w:t>
      </w:r>
      <w:r>
        <w:rPr>
          <w:rFonts w:ascii="Arial" w:eastAsia="Arial" w:hAnsi="Arial" w:cs="Arial"/>
          <w:color w:val="000000"/>
        </w:rPr>
        <w:t xml:space="preserve">(1 pound/161 SY) </w:t>
      </w:r>
      <w:r>
        <w:rPr>
          <w:rFonts w:ascii="Arial" w:eastAsia="Arial" w:hAnsi="Arial" w:cs="Arial"/>
        </w:rPr>
        <w:t xml:space="preserve">of the following seed based on seeding season: </w:t>
      </w:r>
    </w:p>
    <w:p w14:paraId="00000012" w14:textId="77777777" w:rsidR="004D4AFB" w:rsidRDefault="004D4AFB">
      <w:pPr>
        <w:tabs>
          <w:tab w:val="left" w:pos="3600"/>
          <w:tab w:val="left" w:pos="3960"/>
        </w:tabs>
        <w:rPr>
          <w:rFonts w:ascii="Arial" w:eastAsia="Arial" w:hAnsi="Arial" w:cs="Arial"/>
        </w:rPr>
      </w:pPr>
    </w:p>
    <w:p w14:paraId="00000013" w14:textId="77777777" w:rsidR="004D4AFB" w:rsidRDefault="00206BB8">
      <w:pPr>
        <w:tabs>
          <w:tab w:val="left" w:pos="630"/>
          <w:tab w:val="left" w:pos="1890"/>
          <w:tab w:val="left" w:pos="3600"/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i/>
        </w:rPr>
        <w:t>Avena</w:t>
      </w:r>
      <w:proofErr w:type="spellEnd"/>
      <w:r>
        <w:rPr>
          <w:rFonts w:ascii="Arial" w:eastAsia="Arial" w:hAnsi="Arial" w:cs="Arial"/>
          <w:i/>
        </w:rPr>
        <w:t xml:space="preserve"> sativa</w:t>
      </w:r>
      <w:r>
        <w:rPr>
          <w:rFonts w:ascii="Arial" w:eastAsia="Arial" w:hAnsi="Arial" w:cs="Arial"/>
        </w:rPr>
        <w:t xml:space="preserve"> (Grain Oats): </w:t>
      </w:r>
      <w:r>
        <w:rPr>
          <w:rFonts w:ascii="Arial" w:eastAsia="Arial" w:hAnsi="Arial" w:cs="Arial"/>
        </w:rPr>
        <w:tab/>
        <w:t>1 January to 31 July</w:t>
      </w:r>
    </w:p>
    <w:p w14:paraId="00000014" w14:textId="77777777" w:rsidR="004D4AFB" w:rsidRDefault="00206BB8">
      <w:pPr>
        <w:tabs>
          <w:tab w:val="left" w:pos="630"/>
          <w:tab w:val="left" w:pos="1890"/>
          <w:tab w:val="left" w:pos="3600"/>
          <w:tab w:val="left" w:pos="396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</w:rPr>
        <w:t>Secale cereale</w:t>
      </w:r>
      <w:r>
        <w:rPr>
          <w:rFonts w:ascii="Arial" w:eastAsia="Arial" w:hAnsi="Arial" w:cs="Arial"/>
        </w:rPr>
        <w:t xml:space="preserve"> (Grain Rye): </w:t>
      </w:r>
      <w:r>
        <w:rPr>
          <w:rFonts w:ascii="Arial" w:eastAsia="Arial" w:hAnsi="Arial" w:cs="Arial"/>
        </w:rPr>
        <w:tab/>
        <w:t>1 August to 31 December</w:t>
      </w:r>
    </w:p>
    <w:p w14:paraId="00000015" w14:textId="77777777" w:rsidR="004D4AFB" w:rsidRDefault="004D4AFB">
      <w:pPr>
        <w:tabs>
          <w:tab w:val="left" w:pos="630"/>
          <w:tab w:val="left" w:pos="1890"/>
          <w:tab w:val="left" w:pos="3960"/>
        </w:tabs>
        <w:rPr>
          <w:rFonts w:ascii="Arial" w:eastAsia="Arial" w:hAnsi="Arial" w:cs="Arial"/>
        </w:rPr>
      </w:pPr>
    </w:p>
    <w:p w14:paraId="00000016" w14:textId="77777777" w:rsidR="004D4AFB" w:rsidRDefault="00206BB8">
      <w:pPr>
        <w:pStyle w:val="Heading2"/>
        <w:rPr>
          <w:rFonts w:ascii="Arial" w:eastAsia="Arial" w:hAnsi="Arial" w:cs="Arial"/>
          <w:b w:val="0"/>
          <w:u w:val="single"/>
        </w:rPr>
      </w:pPr>
      <w:r>
        <w:rPr>
          <w:rFonts w:ascii="Arial" w:eastAsia="Arial" w:hAnsi="Arial" w:cs="Arial"/>
          <w:b w:val="0"/>
          <w:u w:val="single"/>
        </w:rPr>
        <w:t>METHOD OF MEASUREMENT</w:t>
      </w:r>
    </w:p>
    <w:p w14:paraId="00000017" w14:textId="77777777" w:rsidR="004D4AFB" w:rsidRDefault="004D4AFB">
      <w:pPr>
        <w:rPr>
          <w:rFonts w:ascii="Arial" w:eastAsia="Arial" w:hAnsi="Arial" w:cs="Arial"/>
        </w:rPr>
      </w:pPr>
    </w:p>
    <w:p w14:paraId="00000018" w14:textId="519EC8CC" w:rsidR="004D4AFB" w:rsidRDefault="00206BB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Annual Cover Crop for Native Seeding will be measured </w:t>
      </w:r>
      <w:r w:rsidR="00BC56F9">
        <w:rPr>
          <w:rFonts w:ascii="Arial" w:eastAsia="Arial" w:hAnsi="Arial" w:cs="Arial"/>
        </w:rPr>
        <w:t xml:space="preserve">for payment </w:t>
      </w:r>
      <w:r w:rsidR="00C32104">
        <w:rPr>
          <w:rFonts w:ascii="Arial" w:eastAsia="Arial" w:hAnsi="Arial" w:cs="Arial"/>
        </w:rPr>
        <w:t>by the square yard</w:t>
      </w:r>
      <w:r w:rsidR="00BC56F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complete in place.</w:t>
      </w:r>
    </w:p>
    <w:p w14:paraId="00000019" w14:textId="77777777" w:rsidR="004D4AFB" w:rsidRDefault="004D4AFB">
      <w:pPr>
        <w:rPr>
          <w:rFonts w:ascii="Arial" w:eastAsia="Arial" w:hAnsi="Arial" w:cs="Arial"/>
        </w:rPr>
      </w:pPr>
    </w:p>
    <w:p w14:paraId="0000001A" w14:textId="77777777" w:rsidR="004D4AFB" w:rsidRDefault="00206BB8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BASIS OF PAYMENT</w:t>
      </w:r>
    </w:p>
    <w:p w14:paraId="0000001B" w14:textId="77777777" w:rsidR="004D4AFB" w:rsidRDefault="004D4AFB">
      <w:pPr>
        <w:rPr>
          <w:rFonts w:ascii="Arial" w:eastAsia="Arial" w:hAnsi="Arial" w:cs="Arial"/>
        </w:rPr>
      </w:pPr>
    </w:p>
    <w:p w14:paraId="00AA8D47" w14:textId="56C70047" w:rsidR="00261A6D" w:rsidRDefault="00206BB8">
      <w:pPr>
        <w:rPr>
          <w:rFonts w:ascii="Arial" w:eastAsia="Arial" w:hAnsi="Arial" w:cs="Arial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 xml:space="preserve">Annual Cover Crop for Native Seeding will be paid at the </w:t>
      </w:r>
      <w:r w:rsidR="00BC56F9">
        <w:rPr>
          <w:rFonts w:ascii="Arial" w:eastAsia="Arial" w:hAnsi="Arial" w:cs="Arial"/>
        </w:rPr>
        <w:t>C</w:t>
      </w:r>
      <w:r>
        <w:rPr>
          <w:rFonts w:ascii="Arial" w:eastAsia="Arial" w:hAnsi="Arial" w:cs="Arial"/>
        </w:rPr>
        <w:t xml:space="preserve">ontract unit price </w:t>
      </w:r>
      <w:r w:rsidR="00C32104">
        <w:rPr>
          <w:rFonts w:ascii="Arial" w:eastAsia="Arial" w:hAnsi="Arial" w:cs="Arial"/>
        </w:rPr>
        <w:t>by the</w:t>
      </w:r>
      <w:r>
        <w:rPr>
          <w:rFonts w:ascii="Arial" w:eastAsia="Arial" w:hAnsi="Arial" w:cs="Arial"/>
        </w:rPr>
        <w:t xml:space="preserve"> </w:t>
      </w:r>
      <w:r w:rsidR="00C32104">
        <w:rPr>
          <w:rFonts w:ascii="Arial" w:eastAsia="Arial" w:hAnsi="Arial" w:cs="Arial"/>
        </w:rPr>
        <w:t>square yard</w:t>
      </w:r>
      <w:r w:rsidR="00261A6D">
        <w:rPr>
          <w:rFonts w:ascii="Arial" w:eastAsia="Arial" w:hAnsi="Arial" w:cs="Arial"/>
        </w:rPr>
        <w:t>, which price shall include all labor, materials, equipment, and incidental costs required to complete the work.</w:t>
      </w:r>
    </w:p>
    <w:p w14:paraId="45FEC67C" w14:textId="77777777" w:rsidR="00261A6D" w:rsidRDefault="00261A6D">
      <w:pPr>
        <w:rPr>
          <w:rFonts w:ascii="Arial" w:eastAsia="Arial" w:hAnsi="Arial" w:cs="Arial"/>
        </w:rPr>
      </w:pPr>
    </w:p>
    <w:p w14:paraId="0000001E" w14:textId="0FBFEE51" w:rsidR="004D4AFB" w:rsidRDefault="00261A6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Payment shall be made </w:t>
      </w:r>
      <w:r w:rsidR="00206BB8">
        <w:rPr>
          <w:rFonts w:ascii="Arial" w:eastAsia="Arial" w:hAnsi="Arial" w:cs="Arial"/>
        </w:rPr>
        <w:t xml:space="preserve">upon approval of seed bag tags or other documentation of correct application rate and species, and upon acceptance of a satisfactory stand of annual grasses </w:t>
      </w:r>
      <w:r>
        <w:rPr>
          <w:rFonts w:ascii="Arial" w:eastAsia="Arial" w:hAnsi="Arial" w:cs="Arial"/>
        </w:rPr>
        <w:t xml:space="preserve">(approx. </w:t>
      </w:r>
      <w:r w:rsidR="00206BB8">
        <w:rPr>
          <w:rFonts w:ascii="Arial" w:eastAsia="Arial" w:hAnsi="Arial" w:cs="Arial"/>
        </w:rPr>
        <w:t>three weeks</w:t>
      </w:r>
      <w:r>
        <w:rPr>
          <w:rFonts w:ascii="Arial" w:eastAsia="Arial" w:hAnsi="Arial" w:cs="Arial"/>
        </w:rPr>
        <w:t>)</w:t>
      </w:r>
      <w:r w:rsidR="00206BB8">
        <w:rPr>
          <w:rFonts w:ascii="Arial" w:eastAsia="Arial" w:hAnsi="Arial" w:cs="Arial"/>
        </w:rPr>
        <w:t xml:space="preserve"> following seeding.</w:t>
      </w:r>
    </w:p>
    <w:sectPr w:rsidR="004D4AFB">
      <w:pgSz w:w="12240" w:h="15840"/>
      <w:pgMar w:top="720" w:right="1440" w:bottom="810" w:left="1440" w:header="432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FB"/>
    <w:rsid w:val="00124A8D"/>
    <w:rsid w:val="00206BB8"/>
    <w:rsid w:val="00261A6D"/>
    <w:rsid w:val="004D4AFB"/>
    <w:rsid w:val="008F56A2"/>
    <w:rsid w:val="00946899"/>
    <w:rsid w:val="00B974AD"/>
    <w:rsid w:val="00BC56F9"/>
    <w:rsid w:val="00C32104"/>
    <w:rsid w:val="00D20D5E"/>
    <w:rsid w:val="00DA1C8A"/>
    <w:rsid w:val="00EE3988"/>
    <w:rsid w:val="00F247CD"/>
    <w:rsid w:val="00FD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646E"/>
  <w15:docId w15:val="{ED38C2AD-9348-47DF-8EA8-443D6E2F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6E5"/>
    <w:rPr>
      <w:spacing w:val="-3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72C"/>
    <w:pPr>
      <w:outlineLvl w:val="0"/>
    </w:pPr>
    <w:rPr>
      <w:rFonts w:ascii="Times New Roman Bold" w:hAnsi="Times New Roman Bold"/>
      <w:b/>
      <w:bCs/>
      <w:u w:val="word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672C"/>
    <w:pPr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F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078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6672C"/>
    <w:rPr>
      <w:rFonts w:eastAsia="Times New Roman"/>
      <w:b/>
      <w:bCs/>
      <w:spacing w:val="-3"/>
    </w:rPr>
  </w:style>
  <w:style w:type="paragraph" w:styleId="BodyText">
    <w:name w:val="Body Text"/>
    <w:basedOn w:val="Normal"/>
    <w:link w:val="BodyTextChar"/>
    <w:rsid w:val="002D16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</w:pPr>
  </w:style>
  <w:style w:type="character" w:customStyle="1" w:styleId="BodyTextChar">
    <w:name w:val="Body Text Char"/>
    <w:basedOn w:val="DefaultParagraphFont"/>
    <w:link w:val="BodyText"/>
    <w:rsid w:val="002D16E5"/>
    <w:rPr>
      <w:rFonts w:eastAsia="Times New Roman"/>
      <w:spacing w:val="-3"/>
    </w:rPr>
  </w:style>
  <w:style w:type="paragraph" w:styleId="Footer">
    <w:name w:val="footer"/>
    <w:basedOn w:val="Normal"/>
    <w:link w:val="FooterChar"/>
    <w:rsid w:val="002D16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16E5"/>
    <w:rPr>
      <w:rFonts w:eastAsia="Times New Roman"/>
      <w:spacing w:val="-3"/>
    </w:rPr>
  </w:style>
  <w:style w:type="character" w:styleId="PageNumber">
    <w:name w:val="page number"/>
    <w:basedOn w:val="DefaultParagraphFont"/>
    <w:rsid w:val="002D16E5"/>
  </w:style>
  <w:style w:type="paragraph" w:styleId="BalloonText">
    <w:name w:val="Balloon Text"/>
    <w:basedOn w:val="Normal"/>
    <w:link w:val="BalloonTextChar"/>
    <w:uiPriority w:val="99"/>
    <w:semiHidden/>
    <w:unhideWhenUsed/>
    <w:rsid w:val="00D97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FFB"/>
    <w:rPr>
      <w:rFonts w:ascii="Tahoma" w:eastAsia="Times New Roman" w:hAnsi="Tahoma" w:cs="Tahoma"/>
      <w:spacing w:val="-3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5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BCC"/>
    <w:rPr>
      <w:rFonts w:eastAsia="Times New Roman"/>
      <w:spacing w:val="-3"/>
      <w:sz w:val="20"/>
      <w:szCs w:val="20"/>
    </w:rPr>
  </w:style>
  <w:style w:type="paragraph" w:customStyle="1" w:styleId="Default">
    <w:name w:val="Default"/>
    <w:rsid w:val="00A355B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4D3FE4"/>
    <w:rPr>
      <w:rFonts w:asciiTheme="majorHAnsi" w:eastAsiaTheme="majorEastAsia" w:hAnsiTheme="majorHAnsi" w:cstheme="majorBidi"/>
      <w:i/>
      <w:iCs/>
      <w:color w:val="365F91" w:themeColor="accent1" w:themeShade="BF"/>
      <w:spacing w:val="-3"/>
    </w:rPr>
  </w:style>
  <w:style w:type="character" w:styleId="Strong">
    <w:name w:val="Strong"/>
    <w:basedOn w:val="DefaultParagraphFont"/>
    <w:uiPriority w:val="22"/>
    <w:qFormat/>
    <w:rsid w:val="004D3F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3FE4"/>
    <w:pPr>
      <w:spacing w:before="100" w:beforeAutospacing="1" w:after="100" w:afterAutospacing="1"/>
      <w:jc w:val="left"/>
    </w:pPr>
    <w:rPr>
      <w:spacing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307"/>
    <w:rPr>
      <w:rFonts w:eastAsia="Times New Roman"/>
      <w:b/>
      <w:bCs/>
      <w:spacing w:val="-3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100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62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205"/>
    <w:rPr>
      <w:rFonts w:eastAsia="Times New Roman"/>
      <w:spacing w:val="-3"/>
    </w:rPr>
  </w:style>
  <w:style w:type="character" w:customStyle="1" w:styleId="Heading1Char">
    <w:name w:val="Heading 1 Char"/>
    <w:basedOn w:val="DefaultParagraphFont"/>
    <w:link w:val="Heading1"/>
    <w:uiPriority w:val="9"/>
    <w:rsid w:val="00D6672C"/>
    <w:rPr>
      <w:rFonts w:ascii="Times New Roman Bold" w:eastAsia="Times New Roman" w:hAnsi="Times New Roman Bold"/>
      <w:b/>
      <w:bCs/>
      <w:spacing w:val="-3"/>
      <w:u w:val="words"/>
    </w:rPr>
  </w:style>
  <w:style w:type="paragraph" w:styleId="Revision">
    <w:name w:val="Revision"/>
    <w:hidden/>
    <w:uiPriority w:val="99"/>
    <w:semiHidden/>
    <w:rsid w:val="003B100B"/>
    <w:rPr>
      <w:spacing w:val="-3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BlQti4jPeh30t9VUpQAOnPBuVQ==">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Tara A. (DOT)</dc:creator>
  <cp:lastModifiedBy>Jamie Falise</cp:lastModifiedBy>
  <cp:revision>13</cp:revision>
  <dcterms:created xsi:type="dcterms:W3CDTF">2024-06-26T20:36:00Z</dcterms:created>
  <dcterms:modified xsi:type="dcterms:W3CDTF">2024-10-30T23:42:00Z</dcterms:modified>
</cp:coreProperties>
</file>