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3n61lajfqwu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SAMPLE-en-fr</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yj2y31skuu8w"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ov1zb4erhugv" w:id="2"/>
      <w:bookmarkEnd w:id="2"/>
      <w:r w:rsidDel="00000000" w:rsidR="00000000" w:rsidRPr="00000000">
        <w:rPr>
          <w:rFonts w:ascii="Montserrat" w:cs="Montserrat" w:eastAsia="Montserrat" w:hAnsi="Montserrat"/>
          <w:b w:val="1"/>
          <w:bCs w:val="1"/>
          <w:rtl w:val="0"/>
        </w:rPr>
        <w:t xml:space="preserve">EXEMPLE NARRATIF DU BUDGET DE L'ADU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Pour confirmer que le propriétaire est financièrement prêt à entreprendre la construction d'un ADU, un descriptif du budget de l'ADU dûment rempli est requis lors de la demande auprès du programme d'assistance financière ADU du Boston Home Center. Un exposé budgétaire complet doit expliquer tous les coûts prévus, donner un aperçu de l'état de préparation financière du propriétaire et expliquer comment le projet sera financé. Veuillez compléter chaque étape requise dans le modèle ci-dessous.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L'estimation des coûts globaux du projet nécessitera une discussion avec des experts professionnels du bâtiment et de la conception.</w:t>
      </w:r>
      <w:r w:rsidDel="00000000" w:rsidR="00000000" w:rsidRPr="00000000">
        <w:rPr>
          <w:rFonts w:ascii="Lora" w:cs="Lora" w:eastAsia="Lora" w:hAnsi="Lora"/>
          <w:b w:val="1"/>
          <w:bCs w:val="1"/>
          <w:i w:val="1"/>
          <w:iCs w:val="1"/>
          <w:highlight w:val="white"/>
          <w:rtl w:val="0"/>
        </w:rPr>
        <w:t xml:space="preserve"> À titre de référence approximative, les coûts des projets de l'ADU peuvent commencer à environ 275 dollars le pied carré.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Cependant, les coûts des projets peuvent varier considérablement et dépendent de l'étendue et de la portée des travaux sur chaque projet. Votre architecte et/ou votre équipe de construction seront en mesure de vous aider à estimer le coût de votre projet. Il est également recommandé de prévoir un budget d'urgence de 5 à 10 % pour les coûts préalables à la construction et un budget d'urgence de 10 à 20 % pour la construction. Si vous souhaitez également bénéficier d'une allocation pour l'aménagement de votre ADU, pour d'autres améliorations de votre qualité de vie, ou si vous prévoyez que votre projet débutera dans plus de six mois, il est recommandé d'augmenter votre budget d'urgence pour tenir compte de ces coûts supplémentaires.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Les prix indiqués dans cet exemple de description sont fournis à des fins d'illustration uniquement.</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Il est recommandé de travailler avec votre entrepreneur et votre équipe de conception pour obtenir une estimation précise des prix. </w:t>
      </w:r>
      <w:r w:rsidDel="00000000" w:rsidR="00000000" w:rsidRPr="00000000">
        <w:rPr>
          <w:rFonts w:ascii="Lora" w:cs="Lora" w:eastAsia="Lora" w:hAnsi="Lora"/>
          <w:shd w:fill="ffe599" w:val="clear"/>
          <w:rtl w:val="0"/>
        </w:rPr>
        <w:t xml:space="preserve">Tous les exemples de réponses au descriptif du budget seront surlignés en jaune.</w:t>
      </w:r>
    </w:p>
    <w:p w:rsidR="00000000" w:rsidDel="00000000" w:rsidP="00000000" w:rsidRDefault="00000000" w:rsidRPr="00000000" w14:paraId="0000000C">
      <w:pPr>
        <w:pStyle w:val="Heading2"/>
        <w:rPr>
          <w:rFonts w:ascii="Lora" w:cs="Lora" w:eastAsia="Lora" w:hAnsi="Lora"/>
        </w:rPr>
      </w:pPr>
      <w:bookmarkStart w:colFirst="0" w:colLast="0" w:name="_83rhzapuy4yl" w:id="3"/>
      <w:bookmarkEnd w:id="3"/>
      <w:r w:rsidDel="00000000" w:rsidR="00000000" w:rsidRPr="00000000">
        <w:rPr>
          <w:rFonts w:ascii="Lora" w:cs="Lora" w:eastAsia="Lora" w:hAnsi="Lora"/>
          <w:rtl w:val="0"/>
        </w:rPr>
        <w:t xml:space="preserve">Étape 1. Aperçu du projet</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Décrivez l'ADU que vous souhaitez construire. Indiquez le quartier et l'emplacement dans la maison. Indiquez la superficie approximative en pieds carrés, l'utilisation prévue et toute contrainte connue sur le site ou sur la structure.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J'ai l'intention de construire un ADU attenant de 500 pieds carrés sous forme d’extension arrière de ma maison. L'unité servira d'espace de vie à un parent âgé. Le projet nécessite une nouvelle fondation, une charpente rattachée à la maison existante et des services publics étendus, notamment la plomberie, l'électricité et le CVC. Le coût estimatif de la construction dure (sur la base de l'offre inférieure de l'entrepreneur) est de 148 000 dollars. J'ai prévu un montant supplémentaire combiné pour imprévus et indemnité de 39 123 dollars, pour un coût total prévu de 208 357 dollars.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s9z8k9m1mnyj" w:id="4"/>
      <w:bookmarkEnd w:id="4"/>
      <w:r w:rsidDel="00000000" w:rsidR="00000000" w:rsidRPr="00000000">
        <w:rPr>
          <w:rFonts w:ascii="Lora" w:cs="Lora" w:eastAsia="Lora" w:hAnsi="Lora"/>
          <w:rtl w:val="0"/>
        </w:rPr>
        <w:t xml:space="preserve">Étape 2. Coûts accessoires</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Incluez toutes les dépenses non liées à la construction, telles que les coûts prévus pour la conception et l'autorisation de votre ADU. Supposez un budget d'urgence d'au moins 5 à 10 % pour les coûts accessoires pour tenir compte des dépenses imprévues.</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ak9d8t7n5bq" w:id="5"/>
      <w:bookmarkEnd w:id="5"/>
      <w:r w:rsidDel="00000000" w:rsidR="00000000" w:rsidRPr="00000000">
        <w:rPr>
          <w:rFonts w:ascii="Lora" w:cs="Lora" w:eastAsia="Lora" w:hAnsi="Lora"/>
          <w:color w:val="000000"/>
          <w:rtl w:val="0"/>
        </w:rPr>
        <w:t xml:space="preserve">Services professionnels</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Indiquez les coûts prévus pour les services professionnels nécessaires à la conception de votre ADU. Certains coûts de services professionnels typiques peuvent inclure des études de faisabilité, des études de terrain ou de site, des services de conception architecturale, des frais juridiques (tels que l'examen des contrats ou des actes) et des plans de protection contre les incendies.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oda8w77u1k3v" w:id="6"/>
      <w:bookmarkEnd w:id="6"/>
      <w:r w:rsidDel="00000000" w:rsidR="00000000" w:rsidRPr="00000000">
        <w:rPr>
          <w:rFonts w:ascii="Lora" w:cs="Lora" w:eastAsia="Lora" w:hAnsi="Lora"/>
          <w:color w:val="000000"/>
          <w:rtl w:val="0"/>
        </w:rPr>
        <w:t xml:space="preserve">Frais d'autorisation</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Des frais de permis sont requis lors de la demande d'un permis pour construire votre ADU. Vous les paierez dans le cadre de votre demande auprès du département des services d'inspection. Indiquez les coûts d'autorisation prévus pour votre projet.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Tous les projets nécessiteront les frais suivants :</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Frais de dossier (frais fixes de 50$)</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 du coût total du projet</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Vous devrez peut-être payer des frais supplémentaires selon que votre projet nécessite un examen en cas d'incendie ou un examen par la commission d'appel du zonage. </w:t>
      </w:r>
      <w:r w:rsidDel="00000000" w:rsidR="00000000" w:rsidRPr="00000000">
        <w:rPr>
          <w:rFonts w:ascii="Lora" w:cs="Lora" w:eastAsia="Lora" w:hAnsi="Lora"/>
          <w:b w:val="1"/>
          <w:bCs w:val="1"/>
          <w:rtl w:val="0"/>
        </w:rPr>
        <w:t xml:space="preserve">Contactez les services d'inspection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Fonts w:ascii="Lora" w:cs="Lora" w:eastAsia="Lora" w:hAnsi="Lora"/>
          <w:b w:val="1"/>
          <w:bCs w:val="1"/>
          <w:rtl w:val="0"/>
        </w:rPr>
        <w:t xml:space="preserve">Service au 617-635-5300 pour en savoir plus sur les frais de permis.</w:t>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TYPE À COÛT RÉDUIT</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i w:val="1"/>
                <w:iCs w:val="1"/>
                <w:rtl w:val="0"/>
              </w:rPr>
              <w:t xml:space="preserve">Si votre projet nécessite d'autres coûts accessoires qui ne sont pas répertoriés, utilisez les espaces vides pour les ajouter.</w:t>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Frais d'architecture et d'ingénierie (architecte + consultants)</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SUPPOSER 10 % DE L'ESTIMATION DE L'ENTREPRENEUR</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14 800 $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Plans de gicleurs d'incendie </w:t>
            </w:r>
            <w:r w:rsidDel="00000000" w:rsidR="00000000" w:rsidRPr="00000000">
              <w:rPr>
                <w:rFonts w:ascii="Lora" w:cs="Lora" w:eastAsia="Lora" w:hAnsi="Lora"/>
                <w:i w:val="1"/>
                <w:iCs w:val="1"/>
                <w:rtl w:val="0"/>
              </w:rPr>
              <w:t xml:space="preserve">(le cas échéant)</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2 000 $</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Arpentage des terres/étude de site</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1 800 $</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Frais de permis (</w:t>
            </w:r>
            <w:r w:rsidDel="00000000" w:rsidR="00000000" w:rsidRPr="00000000">
              <w:rPr>
                <w:rFonts w:ascii="Lora" w:cs="Lora" w:eastAsia="Lora" w:hAnsi="Lora"/>
                <w:b w:val="1"/>
                <w:bCs w:val="1"/>
                <w:rtl w:val="0"/>
              </w:rPr>
              <w:t xml:space="preserve">frais de dossier de 50$ + 1 % du coût total du projet</w:t>
            </w:r>
            <w:r w:rsidDel="00000000" w:rsidR="00000000" w:rsidRPr="00000000">
              <w:rPr>
                <w:rFonts w:ascii="Lora" w:cs="Lora" w:eastAsia="Lora" w:hAnsi="Lora"/>
                <w:rtl w:val="0"/>
              </w:rPr>
              <w:t xml:space="preserve">) :</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2,134 $</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Examens supplémentaires</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500 $</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SOMME TOTALE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21 234 $</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m3zvnrwuz8qh"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tr4elyau02m8" w:id="8"/>
      <w:bookmarkEnd w:id="8"/>
      <w:r w:rsidDel="00000000" w:rsidR="00000000" w:rsidRPr="00000000">
        <w:rPr>
          <w:rFonts w:ascii="Lora" w:cs="Lora" w:eastAsia="Lora" w:hAnsi="Lora"/>
          <w:rtl w:val="0"/>
        </w:rPr>
        <w:t xml:space="preserve">Étape 3. Coûts de construction difficiles</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Veuillez joindre une estimation des coûts réels à cette feuille de travail. Vous devez soumettre des estimations provenant d'au moins deux entrepreneurs différents. Expliquez les coûts de construction prévus indiqués dans l'estimation de cette section.</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ESTIMATION DES COÛTS FIXES DE L'ENTREPRENEUR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148 000 $</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ESTIMATION DES COÛTS FIXES DE L'ENTREPRENEUR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152 000 $</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Explication des coûts de construction durs :</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J'ai reçu deux estimations préliminaires des coûts fixes pour la construction de mon ADU de 500 pieds carrés. Les deux couvrent les éléments suivants pour la conversion ADU interne de mon sous-sol de 500 pieds carrés :</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Démolition et préparation de l'espace existant</w:t>
        <w:br w:type="textWrapping"/>
        <w:t xml:space="preserve"> • Nouvelle charpente et modifications structurelles</w:t>
        <w:br w:type="textWrapping"/>
        <w:t xml:space="preserve"> • Isolation conforme au code énergétique actuel</w:t>
        <w:br w:type="textWrapping"/>
        <w:t xml:space="preserve"> • Améliorations électriques, câblage, éclairage et travaux de panneaux</w:t>
        <w:br w:type="textWrapping"/>
        <w:t xml:space="preserve"> • Nouvelles conduites de plomberie, accessoires et système de drainage</w:t>
        <w:br w:type="textWrapping"/>
        <w:t xml:space="preserve"> • Installation CVC adaptée à un ADU autonome</w:t>
        <w:br w:type="textWrapping"/>
        <w:t xml:space="preserve"> • Nouvelles fenêtres et portes de sortie.</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Assemblages résistants au feu selon les besoins</w:t>
        <w:br w:type="textWrapping"/>
        <w:t xml:space="preserve"> • Réglages extérieurs pour l'accès et la conformité au code</w:t>
        <w:br w:type="textWrapping"/>
        <w:t xml:space="preserve"> • Installation complète de la cuisine</w:t>
        <w:br w:type="textWrapping"/>
        <w:t xml:space="preserve"> • Installation de salle de bain avec douche, toilettes et ventilation</w:t>
        <w:br w:type="textWrapping"/>
        <w:t xml:space="preserve"> • Finitions intérieures telles que les cloisons sèches, les revêtements de sol, les garnitures et la peinture</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4tpeg2d0kdsk" w:id="9"/>
      <w:bookmarkEnd w:id="9"/>
      <w:r w:rsidDel="00000000" w:rsidR="00000000" w:rsidRPr="00000000">
        <w:rPr>
          <w:rFonts w:ascii="Lora" w:cs="Lora" w:eastAsia="Lora" w:hAnsi="Lora"/>
          <w:rtl w:val="0"/>
        </w:rPr>
        <w:t xml:space="preserve">Étape 4. Somme pour éventualités et provisions pour frais</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Vous pouvez additionner ici tous les budgets d'urgence pour les coûts matériels et accessoires. C'est également l'occasion de réfléchir à votre budget pour l'entretien futur, les frais de location et les autres dépenses prévues. Ajoutez une allocation supplémentaire si la construction devrait commencer plus de six mois après la budgétisation en raison des fluctuations des prix des matériaux et de la main-d'œuvre. Expliquez brièvement les coûts, vos pourcentages de contingence et les raisons pour lesquelles vous les avez sélectionnés.</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ÉVENTUALITÉ DE 10 À 20 % SUR LES COÛTS FIXES (</w:t>
            </w:r>
            <w:r w:rsidDel="00000000" w:rsidR="00000000" w:rsidRPr="00000000">
              <w:rPr>
                <w:rFonts w:ascii="Lora" w:cs="Lora" w:eastAsia="Lora" w:hAnsi="Lora"/>
                <w:b w:val="1"/>
                <w:bCs w:val="1"/>
                <w:rtl w:val="0"/>
              </w:rPr>
              <w:t xml:space="preserve">EN UTILISANT L'OFFRE LA PLUS BASSE</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22 200 $</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IMPRÉVUS LIÉS AUX COÛTS ACCESSOIRES </w:t>
            </w:r>
            <w:r w:rsidDel="00000000" w:rsidR="00000000" w:rsidRPr="00000000">
              <w:rPr>
                <w:rFonts w:ascii="Lora" w:cs="Lora" w:eastAsia="Lora" w:hAnsi="Lora"/>
                <w:b w:val="1"/>
                <w:bCs w:val="1"/>
                <w:rtl w:val="0"/>
              </w:rPr>
              <w:t xml:space="preserve">(OBJECTIF DE 5 À 10 % DU TOTAL DES COÛTS ACCESSOIRES)</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2 123 $</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INDEMNITÉ SUPPLÉMENTAIRE </w:t>
            </w:r>
            <w:r w:rsidDel="00000000" w:rsidR="00000000" w:rsidRPr="00000000">
              <w:rPr>
                <w:rFonts w:ascii="Lora" w:cs="Lora" w:eastAsia="Lora" w:hAnsi="Lora"/>
                <w:b w:val="1"/>
                <w:bCs w:val="1"/>
                <w:rtl w:val="0"/>
              </w:rPr>
              <w:t xml:space="preserve">(10 % DE L'ESTIMATION DU CONTRACTANT)</w:t>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14 800 $</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SOMME TOTALE</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39 123 $</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4cq5blmyhjhu" w:id="10"/>
      <w:bookmarkEnd w:id="10"/>
      <w:r w:rsidDel="00000000" w:rsidR="00000000" w:rsidRPr="00000000">
        <w:rPr>
          <w:rFonts w:ascii="Lora" w:cs="Lora" w:eastAsia="Lora" w:hAnsi="Lora"/>
          <w:rtl w:val="0"/>
        </w:rPr>
        <w:t xml:space="preserve">Étape 5. Budget estimatif total</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Résumez toutes les dépenses du projet en un seul total combiné, y compris les coûts matériels, les coûts accessoires, les frais et les imprévus. Expliquez comment les estimations ont été obtenues et quand vous comptez finaliser la tarification.</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Coûts fixes (devis de l'entrepreneur)</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148 000 $</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Coûts accessoires (dessins, permis, enquêtes)</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21 234 $</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Somme totale de la provision pour éventualités et frais</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39 123 $</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COÛT TOTAL DU PROJET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208 357 $</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6s43qdw13icq" w:id="11"/>
      <w:bookmarkEnd w:id="11"/>
      <w:r w:rsidDel="00000000" w:rsidR="00000000" w:rsidRPr="00000000">
        <w:rPr>
          <w:rFonts w:ascii="Lora" w:cs="Lora" w:eastAsia="Lora" w:hAnsi="Lora"/>
          <w:rtl w:val="0"/>
        </w:rPr>
        <w:t xml:space="preserve">Étape 6. Abordabilité et plan de financement</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Dans cette section, vous pouvez choisir de décrire le montant de l'épargne disponible que vous avez l'intention de contribuer, votre dossier de solvabilité actuel ou d'autres indicateurs de solvabilité, la valeur nette immobilière disponible ou les plans visant à garantir la valeur de votre logement ou des prêts à la construction (y compris les prêts de l'une des banques participant au programme pilote de prêts de la Banque ADU). Bien qu'il ne soit pas nécessaire d'énumérer vos dettes actuelles, sachez que la plupart des institutions de crédit évaluent le montant total que vous pouvez emprunter dans le cadre de votre ratio global dette/revenu (DTI). De nombreux prêteurs fixent un DTI maximum autorisé d'environ 40 %.</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J'ai l'intention de financer l'ADU en combinant l'épargne personnelle et le financement sur valeur domiciliaire. J'ai </w:t>
      </w:r>
      <w:r w:rsidDel="00000000" w:rsidR="00000000" w:rsidRPr="00000000">
        <w:rPr>
          <w:rFonts w:ascii="Lora" w:cs="Lora" w:eastAsia="Lora" w:hAnsi="Lora"/>
          <w:b w:val="1"/>
          <w:bCs w:val="1"/>
          <w:shd w:fill="ffe599" w:val="clear"/>
          <w:rtl w:val="0"/>
        </w:rPr>
        <w:t xml:space="preserve">40 000 $</w:t>
      </w:r>
      <w:r w:rsidDel="00000000" w:rsidR="00000000" w:rsidRPr="00000000">
        <w:rPr>
          <w:rFonts w:ascii="Lora" w:cs="Lora" w:eastAsia="Lora" w:hAnsi="Lora"/>
          <w:shd w:fill="ffe599" w:val="clear"/>
          <w:rtl w:val="0"/>
        </w:rPr>
        <w:t xml:space="preserve"> d'économies disponibles que j'ai l'intention de consacrer aux coûts accessoires et aux premières dépenses de construction, et je prévois de contribuer </w:t>
      </w:r>
      <w:r w:rsidDel="00000000" w:rsidR="00000000" w:rsidRPr="00000000">
        <w:rPr>
          <w:rFonts w:ascii="Lora" w:cs="Lora" w:eastAsia="Lora" w:hAnsi="Lora"/>
          <w:b w:val="1"/>
          <w:bCs w:val="1"/>
          <w:shd w:fill="ffe599" w:val="clear"/>
          <w:rtl w:val="0"/>
        </w:rPr>
        <w:t xml:space="preserve">10 000 $</w:t>
      </w:r>
      <w:r w:rsidDel="00000000" w:rsidR="00000000" w:rsidRPr="00000000">
        <w:rPr>
          <w:rFonts w:ascii="Lora" w:cs="Lora" w:eastAsia="Lora" w:hAnsi="Lora"/>
          <w:shd w:fill="ffe599" w:val="clear"/>
          <w:rtl w:val="0"/>
        </w:rPr>
        <w:t xml:space="preserve"> supplémentaires en épargne personnelle pendant la construction au fur et à mesure que les fonds seront disponibles. Ma cote de solvabilité est de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et j'ai une valeur domiciliaire suffisante pour bénéficier d'une ligne de crédit sur valeur domiciliaire ou d'un prêt à la construction auprès de l'un des prêteurs du programme pilote de prêts de la Banque ADU. Sur la base du coût total prévu de mon projet de</w:t>
      </w:r>
      <w:r w:rsidDel="00000000" w:rsidR="00000000" w:rsidRPr="00000000">
        <w:rPr>
          <w:rFonts w:ascii="Lora" w:cs="Lora" w:eastAsia="Lora" w:hAnsi="Lora"/>
          <w:b w:val="1"/>
          <w:bCs w:val="1"/>
          <w:shd w:fill="ffe599" w:val="clear"/>
          <w:rtl w:val="0"/>
        </w:rPr>
        <w:t xml:space="preserve"> 208 357 $</w:t>
      </w:r>
      <w:r w:rsidDel="00000000" w:rsidR="00000000" w:rsidRPr="00000000">
        <w:rPr>
          <w:rFonts w:ascii="Lora" w:cs="Lora" w:eastAsia="Lora" w:hAnsi="Lora"/>
          <w:shd w:fill="ffe599" w:val="clear"/>
          <w:rtl w:val="0"/>
        </w:rPr>
        <w:t xml:space="preserve">, je prévois emprunter environ </w:t>
      </w:r>
      <w:r w:rsidDel="00000000" w:rsidR="00000000" w:rsidRPr="00000000">
        <w:rPr>
          <w:rFonts w:ascii="Lora" w:cs="Lora" w:eastAsia="Lora" w:hAnsi="Lora"/>
          <w:b w:val="1"/>
          <w:bCs w:val="1"/>
          <w:shd w:fill="ffe599" w:val="clear"/>
          <w:rtl w:val="0"/>
        </w:rPr>
        <w:t xml:space="preserve">158 357 $</w:t>
      </w:r>
      <w:r w:rsidDel="00000000" w:rsidR="00000000" w:rsidRPr="00000000">
        <w:rPr>
          <w:rFonts w:ascii="Lora" w:cs="Lora" w:eastAsia="Lora" w:hAnsi="Lora"/>
          <w:shd w:fill="ffe599" w:val="clear"/>
          <w:rtl w:val="0"/>
        </w:rPr>
        <w:t xml:space="preserve"> pour couvrir les coûts restants du projet après ma</w:t>
      </w:r>
      <w:r w:rsidDel="00000000" w:rsidR="00000000" w:rsidRPr="00000000">
        <w:rPr>
          <w:rFonts w:ascii="Lora" w:cs="Lora" w:eastAsia="Lora" w:hAnsi="Lora"/>
          <w:b w:val="1"/>
          <w:bCs w:val="1"/>
          <w:shd w:fill="ffe599" w:val="clear"/>
          <w:rtl w:val="0"/>
        </w:rPr>
        <w:t xml:space="preserve"> contribution personnelle totale de </w:t>
      </w:r>
      <w:r w:rsidDel="00000000" w:rsidR="00000000" w:rsidRPr="00000000">
        <w:rPr>
          <w:rFonts w:ascii="Lora" w:cs="Lora" w:eastAsia="Lora" w:hAnsi="Lora"/>
          <w:shd w:fill="ffe599" w:val="clear"/>
          <w:rtl w:val="0"/>
        </w:rPr>
        <w:t xml:space="preserve">50 000 $. Ma capacité de paiement mensuelle est de </w:t>
      </w:r>
      <w:r w:rsidDel="00000000" w:rsidR="00000000" w:rsidRPr="00000000">
        <w:rPr>
          <w:rFonts w:ascii="Lora" w:cs="Lora" w:eastAsia="Lora" w:hAnsi="Lora"/>
          <w:b w:val="1"/>
          <w:bCs w:val="1"/>
          <w:shd w:fill="ffe599" w:val="clear"/>
          <w:rtl w:val="0"/>
        </w:rPr>
        <w:t xml:space="preserve">1 200 à 1 400 dollars</w:t>
      </w:r>
      <w:r w:rsidDel="00000000" w:rsidR="00000000" w:rsidRPr="00000000">
        <w:rPr>
          <w:rFonts w:ascii="Lora" w:cs="Lora" w:eastAsia="Lora" w:hAnsi="Lora"/>
          <w:shd w:fill="ffe599" w:val="clear"/>
          <w:rtl w:val="0"/>
        </w:rPr>
        <w:t xml:space="preserve"> sur la base de mes revenus et dépenses courants.</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skk7nfnodrjx" w:id="12"/>
      <w:bookmarkEnd w:id="12"/>
      <w:r w:rsidDel="00000000" w:rsidR="00000000" w:rsidRPr="00000000">
        <w:rPr>
          <w:rFonts w:ascii="Lora" w:cs="Lora" w:eastAsia="Lora" w:hAnsi="Lora"/>
          <w:rtl w:val="0"/>
        </w:rPr>
        <w:t xml:space="preserve">Étape 7. Risques et conditions inconnues, le cas échéant</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Identifiez les problèmes susceptibles d'augmenter les coûts ou de retarder le calendrier. Les exemples incluent les dommages structuraux cachés dans les vieilles maisons, les mises à niveau requises des services électriques, les problèmes de fondation, l'abattage d'arbres, la disponibilité d'un entrepreneur ou votre calendrier pour obtenir un financement. Expliquez comment vous comptez gérer ces risques.</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Les risques incluent d'éventuelles améliorations du service électrique, des conditions structurelles cachées découvertes lors de la démolition et des retards dans la planification des sous-traitants ou dans les délais de livraison des matériaux. Il peut également y avoir des augmentations de coûts si l'excavation des fondations révèle de mauvaises conditions du sol ou des eaux souterraines nécessitant un drainage ou des travaux de fondation supplémentaires. J'ai l'intention de faire face à ces risques en maintenant des réserves pour imprévus, en effectuant les premières vérifications de faisabilité du site et des services publics, et en obtenant un financement avant de finaliser les contrats de construction afin que le projet puisse être réalisé dans les meilleurs délais.</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aq4u4jb0zda" w:id="13"/>
      <w:bookmarkEnd w:id="13"/>
      <w:r w:rsidDel="00000000" w:rsidR="00000000" w:rsidRPr="00000000">
        <w:rPr>
          <w:rFonts w:ascii="Lora" w:cs="Lora" w:eastAsia="Lora" w:hAnsi="Lora"/>
          <w:rtl w:val="0"/>
        </w:rPr>
        <w:t xml:space="preserve">Étape 8. Déclaration d'état de préparation</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Fournissez une brève confirmation indiquant que vous comprenez les fourchettes de coûts typiques de l'ADU, que vous avez obtenu ou recherchez un financement et que vous êtes prêt à commencer la conception et à obtenir les autorisations si vous êtes accepté dans le programme.</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Je confirme par la présente que je comprends le coût de mon projet d'ADU, que je suis prêt financièrement à construire un ADU sur ma propriété et à rechercher un financement supplémentaire. Si je suis accepté dans le programme, je suis prêt à commencer le processus de conception et d'autorisation.</w:t>
      </w:r>
      <w:r w:rsidDel="00000000" w:rsidR="00000000" w:rsidRPr="00000000">
        <w:rPr>
          <w:rtl w:val="0"/>
        </w:rPr>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Signature :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