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b5lkqgrki4zk"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SAMPLE-en-ru</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sccs7gpmsx3q"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d0uo9hcemqxx" w:id="2"/>
      <w:bookmarkEnd w:id="2"/>
      <w:r w:rsidDel="00000000" w:rsidR="00000000" w:rsidRPr="00000000">
        <w:rPr>
          <w:rFonts w:ascii="Montserrat" w:cs="Montserrat" w:eastAsia="Montserrat" w:hAnsi="Montserrat"/>
          <w:b w:val="1"/>
          <w:bCs w:val="1"/>
          <w:rtl w:val="0"/>
        </w:rPr>
        <w:t xml:space="preserve">ПРИМЕР СМЕТЫ РАСХОДОВ НА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Для подтверждения финансовой готовности домовладельца к строительству дополнительной жилой единицы (ADU) необходимо предоставить заполненную смету расходов на ADU при подаче заявки в программу финансовой помощи ADU от Boston Home Center. Полная смета расходов должна содержать все ожидаемые затраты, давать представление о финансовой готовности домовладельца и пояснять, как будет финансироваться проект. Пожалуйста, выполните каждый необходимый шаг в приведенном ниже шаблоне.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highlight w:val="white"/>
          <w:rtl w:val="0"/>
        </w:rPr>
        <w:t xml:space="preserve">Для оценки общей стоимости проекта потребуется обсуждение с профессиональными специалистами в области строительства и проектирования.</w:t>
      </w:r>
      <w:r w:rsidDel="00000000" w:rsidR="00000000" w:rsidRPr="00000000">
        <w:rPr>
          <w:rFonts w:ascii="Lora" w:cs="Lora" w:eastAsia="Lora" w:hAnsi="Lora"/>
          <w:b w:val="1"/>
          <w:bCs w:val="1"/>
          <w:i w:val="1"/>
          <w:iCs w:val="1"/>
          <w:highlight w:val="white"/>
          <w:rtl w:val="0"/>
        </w:rPr>
        <w:t xml:space="preserve"> В качестве приблизительного ориентира, стоимость проекта по строительству ADU может начинаться примерно с 275 долларов за квадратный фут.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Однако стоимость проекта будет сильно варьироваться и зависеть от масштаба и объема работ по конкретному проекту. Ваш архитектор и/или строительная бригада смогут помочь вам оценить стоимость вашего проекта. Также рекомендуется предусмотреть резервный бюджет в размере 5-10% на подготовительные работы и резервный бюджет в размере 10-20% на само строительство. Если вы также хотите предусмотреть средства на обустройство вашей ADU, другие улучшения или прогнозируете, что строительство начнется более чем через шесть месяцев, рекомендуется увеличить резервный бюджет, чтобы учесть эти дополнительные расходы.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Указанные в данном примере цены приведены ИСКЛЮЧИТЕЛЬНО В ИЛЛЮСТРАТИВНЫХ ЦЕЛЯХ.</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Рекомендуется сотрудничать с подрядчиком и проектной командой для составления точной сметы. </w:t>
      </w:r>
      <w:r w:rsidDel="00000000" w:rsidR="00000000" w:rsidRPr="00000000">
        <w:rPr>
          <w:rFonts w:ascii="Lora" w:cs="Lora" w:eastAsia="Lora" w:hAnsi="Lora"/>
          <w:shd w:fill="ffe599" w:val="clear"/>
          <w:rtl w:val="0"/>
        </w:rPr>
        <w:t xml:space="preserve">Все примеры ответов на вопросы по смете будут выделены желтым цветом.</w:t>
      </w:r>
    </w:p>
    <w:p w:rsidR="00000000" w:rsidDel="00000000" w:rsidP="00000000" w:rsidRDefault="00000000" w:rsidRPr="00000000" w14:paraId="0000000C">
      <w:pPr>
        <w:pStyle w:val="Heading2"/>
        <w:rPr>
          <w:rFonts w:ascii="Lora" w:cs="Lora" w:eastAsia="Lora" w:hAnsi="Lora"/>
        </w:rPr>
      </w:pPr>
      <w:bookmarkStart w:colFirst="0" w:colLast="0" w:name="_rrwqkj9b7z3l" w:id="3"/>
      <w:bookmarkEnd w:id="3"/>
      <w:r w:rsidDel="00000000" w:rsidR="00000000" w:rsidRPr="00000000">
        <w:rPr>
          <w:rFonts w:ascii="Lora" w:cs="Lora" w:eastAsia="Lora" w:hAnsi="Lora"/>
          <w:rtl w:val="0"/>
        </w:rPr>
        <w:t xml:space="preserve">Шаг 1. Обзор проекта</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Опишите ADU, которую вы планируете построить. Укажите район и местоположение на территории участка. Укажите приблизительную площадь, предполагаемое назначение и любые известные ограничения, связанные с участком или конструкцией.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Я планирую построить ADU площадью 500 квадратных футов в качестве расширения задней части своего дома. Она квартира будет служить жилым помещением для одного из пожилых родителей. Для реализации проекта требуется новый фундамент, несущий каркас, интегрированный в существующий дом, а также прокладка инженерных коммуникаций, включая водопровод, электропроводку и системы отопления, вентиляции и кондиционирования. Ориентировочная стоимость строительных работ (с учетом предложения подрядчика с самой низкой ценой) составляет $148,000. Я заложил(-а) в бюджет дополнительную сумму на непредвиденные расходы и резервы в размере 39 123 долларов, в результате чего общая прогнозируемая стоимость составит 208 357 долларов.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8y45nxvjwu71" w:id="4"/>
      <w:bookmarkEnd w:id="4"/>
      <w:r w:rsidDel="00000000" w:rsidR="00000000" w:rsidRPr="00000000">
        <w:rPr>
          <w:rFonts w:ascii="Lora" w:cs="Lora" w:eastAsia="Lora" w:hAnsi="Lora"/>
          <w:rtl w:val="0"/>
        </w:rPr>
        <w:t xml:space="preserve">Шаг 2. Косвенные затраты</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Включите все расходы, не связанные со строительством, такие как предполагаемые затраты на проектирование и получение разрешений на строительство вашей ADU. В бюджете должен быть предусмотрен резерв на непредвиденные расходы в размере не менее 5-10% от себестоимости.</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n0frcs836krl" w:id="5"/>
      <w:bookmarkEnd w:id="5"/>
      <w:r w:rsidDel="00000000" w:rsidR="00000000" w:rsidRPr="00000000">
        <w:rPr>
          <w:rFonts w:ascii="Lora" w:cs="Lora" w:eastAsia="Lora" w:hAnsi="Lora"/>
          <w:color w:val="000000"/>
          <w:rtl w:val="0"/>
        </w:rPr>
        <w:t xml:space="preserve">Услуги специалистов</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Укажите ожидаемые затраты на услуги специалистов по проектированию вашей ADU. В типичный перечень услуг специалистов могут входить технико-экономические обоснования, топографическая съемка участка, услуги архитектурного проектирования, юридические услуги (например, проверка контракта или акта купли-продажи) и разработка планов противопожарной защиты.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agevfrt3xj9y" w:id="6"/>
      <w:bookmarkEnd w:id="6"/>
      <w:r w:rsidDel="00000000" w:rsidR="00000000" w:rsidRPr="00000000">
        <w:rPr>
          <w:rFonts w:ascii="Lora" w:cs="Lora" w:eastAsia="Lora" w:hAnsi="Lora"/>
          <w:color w:val="000000"/>
          <w:rtl w:val="0"/>
        </w:rPr>
        <w:t xml:space="preserve">Плата за разрешения</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При подаче заявления на получение разрешения на строительство ADU необходимо оплатить разрешительные сборы. Эти платежи вы внесете в рамках подачи заявления в Департамент инспекционных служб. Укажите ожидаемые затраты на получение разрешений для вашего проекта.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Для всех проектов потребуется оплата следующих сборов:</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Плата за подачу заявки (фиксированная сумма 50 долларов)</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от общей стоимости проекта</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В зависимости от того, требуется ли вашему проекту противопожарная экспертиза или рассмотрение Комиссией по зонированию, вам, возможно, придется оплатить дополнительные сборы. </w:t>
      </w:r>
      <w:r w:rsidDel="00000000" w:rsidR="00000000" w:rsidRPr="00000000">
        <w:rPr>
          <w:rFonts w:ascii="Lora" w:cs="Lora" w:eastAsia="Lora" w:hAnsi="Lora"/>
          <w:b w:val="1"/>
          <w:bCs w:val="1"/>
          <w:rtl w:val="0"/>
        </w:rPr>
        <w:t xml:space="preserve">Свяжитесь с Департаментом инспекционных служб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Fonts w:ascii="Lora" w:cs="Lora" w:eastAsia="Lora" w:hAnsi="Lora"/>
          <w:b w:val="1"/>
          <w:bCs w:val="1"/>
          <w:rtl w:val="0"/>
        </w:rPr>
        <w:t xml:space="preserve">по телефону 617-635-5300, чтобы узнать больше о сборах за разрешения.</w:t>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ТИП КОСВЕННЫХ ЗАТРАТ</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rtl w:val="0"/>
              </w:rPr>
              <w:t xml:space="preserve">Если ваш проект предполагает другие косвенные затраты, не указанные в списке, используйте пустые поля для их добавления.</w:t>
            </w:r>
            <w:r w:rsidDel="00000000" w:rsidR="00000000" w:rsidRPr="00000000">
              <w:rPr>
                <w:rtl w:val="0"/>
              </w:rPr>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ВСЕГО</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Стоимость архитектурно-инженерных услуг (архитектор + консультанты)</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ПРЕДПОЛОЖИТЕ ЕЕ РАВНОЙ 10% ОТ СМЕТЫ, УКАЗАННОЙ ПОДРЯДЧИКОМ</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Схема противопожарной системы </w:t>
            </w:r>
            <w:r w:rsidDel="00000000" w:rsidR="00000000" w:rsidRPr="00000000">
              <w:rPr>
                <w:rFonts w:ascii="Lora" w:cs="Lora" w:eastAsia="Lora" w:hAnsi="Lora"/>
                <w:i w:val="1"/>
                <w:iCs w:val="1"/>
                <w:rtl w:val="0"/>
              </w:rPr>
              <w:t xml:space="preserve">(при наличии)</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Геодезическая съемка/обследование участка</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Плата за получение разрешений (</w:t>
            </w:r>
            <w:r w:rsidDel="00000000" w:rsidR="00000000" w:rsidRPr="00000000">
              <w:rPr>
                <w:rFonts w:ascii="Lora" w:cs="Lora" w:eastAsia="Lora" w:hAnsi="Lora"/>
                <w:b w:val="1"/>
                <w:bCs w:val="1"/>
                <w:rtl w:val="0"/>
              </w:rPr>
              <w:t xml:space="preserve">плата за подачу заявки 50 долларов США + 1% от общей стоимости проекта</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Дополнительные проверки</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ОБЩАЯ СУММА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w4n6d2i7a40"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4mz3mhc1nwc2" w:id="8"/>
      <w:bookmarkEnd w:id="8"/>
      <w:r w:rsidDel="00000000" w:rsidR="00000000" w:rsidRPr="00000000">
        <w:rPr>
          <w:rFonts w:ascii="Lora" w:cs="Lora" w:eastAsia="Lora" w:hAnsi="Lora"/>
          <w:rtl w:val="0"/>
        </w:rPr>
        <w:t xml:space="preserve">Шаг 3. Прямые строительные затраты</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Пожалуйста, приложите к этой таблице смету фактических затрат. Необходимо предоставить сметы как минимум от двух разных подрядчиков. В этом разделе подробно опишите предполагаемые затраты на строительство, указанные в смете.</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СМЕТА ОТ ПОДРЯДЧИКА НОМЕР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СМЕТА ОТ ПОДРЯДЧИКА НОМЕР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Пояснение прямых строительных затрат</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Я получил(-а) две предварительные сметы на строительство моей ADU площадью 500 квадратных футов. Оба варианта охватывают следующие аспекты переоборудования моего подвала площадью 500 квадратных футов в ADU:</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Демонтаж и подготовка существующего помещения</w:t>
        <w:br w:type="textWrapping"/>
        <w:t xml:space="preserve"> • Новые элементы каркаса и конструктивные изменения</w:t>
        <w:br w:type="textWrapping"/>
        <w:t xml:space="preserve"> • Изоляция, соответствующая действующим энергетическим нормам</w:t>
        <w:br w:type="textWrapping"/>
        <w:t xml:space="preserve"> • Модернизация электрооборудования, прокладка проводов, освещение и работы с электрощитами</w:t>
        <w:br w:type="textWrapping"/>
        <w:t xml:space="preserve"> • Новые водопроводные трубы, сантехническое оборудование и канализация</w:t>
        <w:br w:type="textWrapping"/>
        <w:t xml:space="preserve"> • Система отопления, вентиляции и кондиционирования воздуха, подходящая для отдельно стоящей ADU</w:t>
        <w:br w:type="textWrapping"/>
        <w:t xml:space="preserve"> • Новые эвакуационные окна, двери.</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Огнестойкие конструкции по мере необходимости</w:t>
        <w:br w:type="textWrapping"/>
        <w:t xml:space="preserve"> • Внешние изменения для обеспечения доступа и соответствия строительным нормам</w:t>
        <w:br w:type="textWrapping"/>
        <w:t xml:space="preserve"> • Полная установка кухни</w:t>
        <w:br w:type="textWrapping"/>
        <w:t xml:space="preserve"> • Установка ванной комнаты с душевой кабиной, туалетом и вентиляцией</w:t>
        <w:br w:type="textWrapping"/>
        <w:t xml:space="preserve"> • Внутренняя отделка, включая гипсокартон, напольное покрытие, плинтусы и покраску</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idtf373qn3s" w:id="9"/>
      <w:bookmarkEnd w:id="9"/>
      <w:r w:rsidDel="00000000" w:rsidR="00000000" w:rsidRPr="00000000">
        <w:rPr>
          <w:rFonts w:ascii="Lora" w:cs="Lora" w:eastAsia="Lora" w:hAnsi="Lora"/>
          <w:rtl w:val="0"/>
        </w:rPr>
        <w:t xml:space="preserve">Шаг 4. Сумма резервов на непредвиденные расходы и компенсационных выплат</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Здесь вы можете суммировать все резервные бюджеты по прямым и косвенным затратам. Здесь также можно указать свой бюджет на будущее техническое обслуживание, арендную плату и другие ожидаемые расходы. Добавьте дополнительную сумму, если начало строительства ожидается более чем через шесть месяцев после утверждения бюджета, поскольку цены на материалы и рабочую силу колеблются. Кратко поясните затраты, процент резерва и почему вы выбрали именно этот вариант.</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РЕЗЕРВ НА НЕПРЕДВИДЕННЫЕ ЗАТРАТЫ В РАЗМЕРЕ 10-20% </w:t>
            </w:r>
            <w:r w:rsidDel="00000000" w:rsidR="00000000" w:rsidRPr="00000000">
              <w:rPr>
                <w:rFonts w:ascii="Lora" w:cs="Lora" w:eastAsia="Lora" w:hAnsi="Lora"/>
                <w:b w:val="1"/>
                <w:bCs w:val="1"/>
                <w:rtl w:val="0"/>
              </w:rPr>
              <w:t xml:space="preserve">(С ИСПОЛЬЗОВАНИЕМ БОЛЕЕ НИЗКОЙ ЦЕНЫ ПРЕДЛОЖЕНИЯ)</w:t>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РЕЗЕРВ НА КОСВЕННЫЕ ЗАТРАТЫ </w:t>
            </w:r>
            <w:r w:rsidDel="00000000" w:rsidR="00000000" w:rsidRPr="00000000">
              <w:rPr>
                <w:rFonts w:ascii="Lora" w:cs="Lora" w:eastAsia="Lora" w:hAnsi="Lora"/>
                <w:b w:val="1"/>
                <w:bCs w:val="1"/>
                <w:rtl w:val="0"/>
              </w:rPr>
              <w:t xml:space="preserve">(СТРЕМИТЕСЬ К ДОСТИЖЕНИЮ 5-10% ОТ ОБЩИХ КОСВЕННЫХ ЗАТРАТ)</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ДОПОЛНИТЕЛЬНАЯ СУММА </w:t>
            </w:r>
            <w:r w:rsidDel="00000000" w:rsidR="00000000" w:rsidRPr="00000000">
              <w:rPr>
                <w:rFonts w:ascii="Lora" w:cs="Lora" w:eastAsia="Lora" w:hAnsi="Lora"/>
                <w:b w:val="1"/>
                <w:bCs w:val="1"/>
                <w:rtl w:val="0"/>
              </w:rPr>
              <w:t xml:space="preserve">(10% ОТ СМЕТЫ ПОДРЯДЧИКА)</w:t>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ОБЩАЯ СУММА</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urgib45hzrb2" w:id="10"/>
      <w:bookmarkEnd w:id="10"/>
      <w:r w:rsidDel="00000000" w:rsidR="00000000" w:rsidRPr="00000000">
        <w:rPr>
          <w:rFonts w:ascii="Lora" w:cs="Lora" w:eastAsia="Lora" w:hAnsi="Lora"/>
          <w:rtl w:val="0"/>
        </w:rPr>
        <w:t xml:space="preserve">Шаг 5. Общий предполагаемый бюджет</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Сложите все расходы по проекту в одну общую сумму, включая прямые затраты, косвенные затраты, сборы и непредвиденные расходы. Поясните, как были получены предварительные оценки и когда вы планируете окончательно согласовать цены.</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Прямые затраты (самая низкая цена от подрядчика)</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Косвенные затраты (чертежи, разрешения, топографическая съемка)</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Общая сумма резервов на непредвиденные расходы и компенсационных выплат</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ОБЩАЯ СУММА ПРОЕКТА СТРОИТЕЛЬСТВА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aadb1l155oy8" w:id="11"/>
      <w:bookmarkEnd w:id="11"/>
      <w:r w:rsidDel="00000000" w:rsidR="00000000" w:rsidRPr="00000000">
        <w:rPr>
          <w:rFonts w:ascii="Lora" w:cs="Lora" w:eastAsia="Lora" w:hAnsi="Lora"/>
          <w:rtl w:val="0"/>
        </w:rPr>
        <w:t xml:space="preserve">Шаг 6. Доступность и план финансирования</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В этом разделе вы можете указать сумму имеющихся сбережений, которую вы планируете внести, ваш текущий кредитный рейтинг или другие показатели кредитоспособности, а также имеющуюся долю в капитале недвижимости или планы по получению кредитов под залог недвижимости или строительных кредитов (включая кредиты от любого из банков, участвующих в пилотной программе банковского кредитования ADU). Хотя указывать ваши текущие долговые обязательства необязательно, имейте в виду, что большинство кредитных учреждений оценивают общую сумму, которую вы можете занять, как часть вашего общего коэффициента соотношения долга к доходу (DTI). Многие кредиторы устанавливают максимально допустимый коэффициент DTI примерно в 40%.</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Я планирую профинансировать строительство ADU за счет сочетания личных сбережений и кредита под залог недвижимости. У меня есть </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сбережений, которые я планирую направить на покрытие косвенных расходов и начальных затрат на строительство, а также я планирую внести еще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из личных сбережений во время строительства по мере поступления средств. Мой кредитный рейтинг составляет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и у меня достаточно собственного капитала в недвижимости, чтобы претендовать на кредитную линию под залог недвижимости или строительный кредит через одного из кредиторов, участвующих в пилотной программе банковского кредитования ADU (ADU Bank Loan Pilot Program). Исходя из общей прогнозируемой стоимости проекта в размере </w:t>
      </w:r>
      <w:r w:rsidDel="00000000" w:rsidR="00000000" w:rsidRPr="00000000">
        <w:rPr>
          <w:rFonts w:ascii="Lora" w:cs="Lora" w:eastAsia="Lora" w:hAnsi="Lora"/>
          <w:b w:val="1"/>
          <w:bCs w:val="1"/>
          <w:shd w:fill="ffe599" w:val="clear"/>
          <w:rtl w:val="0"/>
        </w:rPr>
        <w:t xml:space="preserve">$208,357</w:t>
      </w:r>
      <w:r w:rsidDel="00000000" w:rsidR="00000000" w:rsidRPr="00000000">
        <w:rPr>
          <w:rFonts w:ascii="Lora" w:cs="Lora" w:eastAsia="Lora" w:hAnsi="Lora"/>
          <w:shd w:fill="ffe599" w:val="clear"/>
          <w:rtl w:val="0"/>
        </w:rPr>
        <w:t xml:space="preserve">, я рассчитываю взять в кредит приблизительно </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для покрытия оставшейся части расходов по проекту после моего личного взноса в размере </w:t>
      </w:r>
      <w:r w:rsidDel="00000000" w:rsidR="00000000" w:rsidRPr="00000000">
        <w:rPr>
          <w:rFonts w:ascii="Lora" w:cs="Lora" w:eastAsia="Lora" w:hAnsi="Lora"/>
          <w:b w:val="1"/>
          <w:bCs w:val="1"/>
          <w:shd w:fill="ffe599" w:val="clear"/>
          <w:rtl w:val="0"/>
        </w:rPr>
        <w:t xml:space="preserve">$50,000</w:t>
      </w:r>
      <w:r w:rsidDel="00000000" w:rsidR="00000000" w:rsidRPr="00000000">
        <w:rPr>
          <w:rFonts w:ascii="Lora" w:cs="Lora" w:eastAsia="Lora" w:hAnsi="Lora"/>
          <w:shd w:fill="ffe599" w:val="clear"/>
          <w:rtl w:val="0"/>
        </w:rPr>
        <w:t xml:space="preserve">. Моя ежемесячная платежеспособность составляет от </w:t>
      </w:r>
      <w:r w:rsidDel="00000000" w:rsidR="00000000" w:rsidRPr="00000000">
        <w:rPr>
          <w:rFonts w:ascii="Lora" w:cs="Lora" w:eastAsia="Lora" w:hAnsi="Lora"/>
          <w:b w:val="1"/>
          <w:bCs w:val="1"/>
          <w:shd w:fill="ffe599" w:val="clear"/>
          <w:rtl w:val="0"/>
        </w:rPr>
        <w:t xml:space="preserve">$1,200 до $1,400</w:t>
      </w:r>
      <w:r w:rsidDel="00000000" w:rsidR="00000000" w:rsidRPr="00000000">
        <w:rPr>
          <w:rFonts w:ascii="Lora" w:cs="Lora" w:eastAsia="Lora" w:hAnsi="Lora"/>
          <w:shd w:fill="ffe599" w:val="clear"/>
          <w:rtl w:val="0"/>
        </w:rPr>
        <w:t xml:space="preserve">, исходя из текущих доходов и расходов.</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6n7553q7rlk6" w:id="12"/>
      <w:bookmarkEnd w:id="12"/>
      <w:r w:rsidDel="00000000" w:rsidR="00000000" w:rsidRPr="00000000">
        <w:rPr>
          <w:rFonts w:ascii="Lora" w:cs="Lora" w:eastAsia="Lora" w:hAnsi="Lora"/>
          <w:rtl w:val="0"/>
        </w:rPr>
        <w:t xml:space="preserve">Шаг 7. Риски и неизвестные условия (если применимо)</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Определите проблемы, которые могут увеличить стоимость или задержать сроки выполнения проекта. В качестве примеров можно привести скрытые структурные повреждения в старых домах, необходимость модернизации электропроводки, проблемы с фундаментом, удаление деревьев, доступность подрядчиков или ваш график получения финансирования. Поясните, как вы планируете управлять этими рисками.</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К рискам относятся потенциальная необходимость модернизации электросетей, обнаружение скрытых неисправностей в конструкции во время демонтажа, а также задержки в графике работ подрядчика или сроках поставки материалов. Также может произойти увеличение затрат, если при проведении земляных работ обнаружатся плохие грунтовые условия или грунтовые воды, требующие дополнительного дренажа или укрепления фундамента. Я планирую снизить эти риски, предусмотрев резервные средства, проводя предварительную оценку целесообразности участка и проверку инженерных сетей, а также обеспечивая финансирование до заключения строительных контрактов, чтобы проект мог продвигаться без ненужных задержек.</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rbyng8mbuw9p" w:id="13"/>
      <w:bookmarkEnd w:id="13"/>
      <w:r w:rsidDel="00000000" w:rsidR="00000000" w:rsidRPr="00000000">
        <w:rPr>
          <w:rFonts w:ascii="Lora" w:cs="Lora" w:eastAsia="Lora" w:hAnsi="Lora"/>
          <w:rtl w:val="0"/>
        </w:rPr>
        <w:t xml:space="preserve">Шаг 8. Заявление о готовности</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Кратко подтвердите, что вы понимаете типичные диапазоны стоимости ADU, что у вас есть или вы ищете финансирование, и что вы готовы начать проектирование и получение разрешений в случае принятия в программу.</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Настоящим подтверждаю, что понимаю стоимость своего проекта по строительству ADU, финансово готов(-а) к строительству ADU на своем участке и намерен(-а) обратиться за дополнительным финансированием. В случае принятия в программу я готов(-а) начать процесс проектирования и получения разрешений.</w:t>
      </w:r>
      <w:r w:rsidDel="00000000" w:rsidR="00000000" w:rsidRPr="00000000">
        <w:rPr>
          <w:rtl w:val="0"/>
        </w:rPr>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Подпись: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