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ocmvp19zmbfc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Financial Assistance Program Application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المساعدة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0"/>
        </w:rPr>
        <w:t xml:space="preserve">ADU</w:t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قائمة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التحقق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بطلب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1"/>
        </w:rPr>
        <w:t xml:space="preserve">التقديم</w:t>
      </w:r>
    </w:p>
    <w:p w:rsidR="00000000" w:rsidDel="00000000" w:rsidP="00000000" w:rsidRDefault="00000000" w:rsidRPr="00000000" w14:paraId="00000004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8"/>
          <w:szCs w:val="28"/>
          <w:rtl w:val="1"/>
        </w:rPr>
        <w:t xml:space="preserve">مكتب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8"/>
          <w:szCs w:val="28"/>
          <w:rtl w:val="1"/>
        </w:rPr>
        <w:t xml:space="preserve">عمدة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8"/>
          <w:szCs w:val="28"/>
          <w:rtl w:val="1"/>
        </w:rPr>
        <w:t xml:space="preserve">المدينة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8"/>
          <w:szCs w:val="28"/>
          <w:rtl w:val="1"/>
        </w:rPr>
        <w:t xml:space="preserve">لشؤون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8"/>
          <w:szCs w:val="28"/>
          <w:rtl w:val="1"/>
        </w:rPr>
        <w:t xml:space="preserve">الإسكان</w:t>
      </w:r>
    </w:p>
    <w:p w:rsidR="00000000" w:rsidDel="00000000" w:rsidP="00000000" w:rsidRDefault="00000000" w:rsidRPr="00000000" w14:paraId="00000005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0"/>
        </w:rPr>
        <w:t xml:space="preserve">The Boston Home Center</w:t>
      </w:r>
    </w:p>
    <w:p w:rsidR="00000000" w:rsidDel="00000000" w:rsidP="00000000" w:rsidRDefault="00000000" w:rsidRPr="00000000" w14:paraId="00000006">
      <w:pPr>
        <w:bidi w:val="1"/>
        <w:spacing w:line="240" w:lineRule="auto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240" w:lineRule="auto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نشكركم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اهتمامكم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بمركز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Boston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Home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Center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فيما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يلي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قائمة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بالمستندات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إرفاقها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التأكد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تضمين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u w:val="single"/>
          <w:shd w:fill="fff2cc" w:val="clear"/>
          <w:rtl w:val="1"/>
        </w:rPr>
        <w:t xml:space="preserve">جميع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المستندات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المطلوبة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المذكورة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أدناه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لن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يتم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النظر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مكتمل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240" w:lineRule="auto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استكمال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طلبكم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وإرفاق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المستندات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المطلوبة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إرسالها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البريد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الإلكتروني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shd w:fill="fff2cc" w:val="clear"/>
            <w:rtl w:val="0"/>
          </w:rPr>
          <w:t xml:space="preserve">homerepairsubmission@boston.gov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إرسالها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البريد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العنوان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التالي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The Boston Home Center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عناية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Homeowner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Assistance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Programs</w:t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26 Court Street, 8th Floor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Boston, MA. 02108</w:t>
      </w:r>
    </w:p>
    <w:p w:rsidR="00000000" w:rsidDel="00000000" w:rsidP="00000000" w:rsidRDefault="00000000" w:rsidRPr="00000000" w14:paraId="0000000F">
      <w:pPr>
        <w:bidi w:val="1"/>
        <w:spacing w:line="240" w:lineRule="auto"/>
        <w:jc w:val="center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بعد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استلام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الحزمة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سنقوم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بإخطاركم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كتابي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بحالة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طلبكم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bidi w:val="1"/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المستندات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المتقدمين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نموذج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البرنامج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مكتمل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وموق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المقيمين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الطلب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يقيم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أغراضه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استلام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تسجيل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الهوية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إضافته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كفرد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وإن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اسمه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مدرج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الذين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تبلغ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أعمارهم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عليهم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مستندات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الدخل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والحسابات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البنكية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والأصول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يكونوا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مالكي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نموذج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الإفصاح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الخاص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بالبرنامج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مكتمل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وموق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إثبات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الملكية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صك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الإقامة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وصك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المضمون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— (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عرف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باسم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صك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الطلاق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حكم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الطلاق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سج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كاتب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المحكمة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يشترط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المتقدم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امتلك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العقار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المراد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ترميمه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لمدة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عشر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متواصلة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صك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التنازل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محكمة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Edward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Brooke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الصكوك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24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Chardon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Street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Boston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الإلكتروني</w:t>
      </w:r>
      <w:hyperlink r:id="rId7">
        <w:r w:rsidDel="00000000" w:rsidR="00000000" w:rsidRPr="00000000">
          <w:rPr>
            <w:rFonts w:ascii="Lora" w:cs="Lora" w:eastAsia="Lora" w:hAnsi="Lora"/>
            <w:color w:val="091f2f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www.suff­olkdeeds.com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وفاة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مالك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إرفاق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الوفاة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bidi w:val="1"/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وفاة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أصلية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الأشخاص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المتوفين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المدرجين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الصك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المسج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مسج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صكوك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مقاطعة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Suffolk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الوفاة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المواليد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والوفيات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والزواج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City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Hall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Room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213,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Boston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MA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, 02201</w:t>
      </w:r>
    </w:p>
    <w:p w:rsidR="00000000" w:rsidDel="00000000" w:rsidP="00000000" w:rsidRDefault="00000000" w:rsidRPr="00000000" w14:paraId="00000018">
      <w:pPr>
        <w:bidi w:val="1"/>
        <w:spacing w:after="200" w:line="240" w:lineRule="auto"/>
        <w:ind w:left="1440" w:firstLine="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بوليصة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تأمين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مالك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المنزل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السارية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وإذا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العقار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يقع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منطقة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حددة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كمناطق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معرضة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للفيضانات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فيجب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يثبت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وجود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تغطية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تأمينية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ضد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الفيضانات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حديث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بالرهون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العقارية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لجميع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القروض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المترتبة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العقار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قروض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قروض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الترميم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إرفاق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يوضح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الغرض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استخدام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قرض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حقوق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الملكية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إن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جد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أحدث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المرافق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الكهرباء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الغاز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الطبيعي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والمياه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المخططات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المعمارية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لوحدة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المقترحة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، 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المسودة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الرسومات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مهندس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معماري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مرخ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مهندس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إنشائي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معتمد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العلم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سي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المخططات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المعتمدة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والمختومة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التفتيش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بصرف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التقديم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u w:val="single"/>
          <w:rtl w:val="1"/>
        </w:rPr>
        <w:t xml:space="preserve">مخططات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أولية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عرضا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تقدير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(2)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مقاولين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مرخ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صين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لتكلفة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إنشاء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إرفاق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المستندات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للمقاول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المختار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تسجيل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مقاول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تحسين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المنازل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ولاية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ماساتشوستس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HIC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رخصة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مشرفي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البناء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CSL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رخصة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مجددي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المباني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الآمنة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الرصاص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ماساتشوستس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مجد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معتمد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وكالة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حماية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البيئة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EPA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وتأمين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المسؤولية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للمقاول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بيان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ميزانية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لوحدة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يتضمن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التكاليف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التقديرية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للمشروع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تكاليف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مخصص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الطوارئ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للمشروع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ومصادر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موضحة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مفصل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وواضح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-9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مكتمل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rFonts w:ascii="Lora" w:cs="Lora" w:eastAsia="Lora" w:hAnsi="Lora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00"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مستندات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الذين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تبلغ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أعمارهم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عام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u w:val="single"/>
          <w:rtl w:val="1"/>
        </w:rPr>
        <w:t xml:space="preserve">فأكثر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أحدث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إقرار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ضريبي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فيدرالي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م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وق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َّ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shd w:fill="fff2cc" w:val="clear"/>
          <w:rtl w:val="1"/>
        </w:rPr>
        <w:t xml:space="preserve">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نماذج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W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-2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وجميع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الملاحق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 (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نماذج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مصلحة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الضرائب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الأمريكية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: 1040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1040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A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1040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0"/>
        </w:rPr>
        <w:t xml:space="preserve">EZ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). 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bidi w:val="1"/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الحر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أرباح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وخسائر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منذ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بداية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السنة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تاريخه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موق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قبلك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المحاسب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الخاص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بك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ونسخ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الإقرارات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الضريبية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الفيدرالية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لآخر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shd w:fill="fff2cc" w:val="clear"/>
          <w:rtl w:val="1"/>
        </w:rPr>
        <w:t xml:space="preserve">سنتين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كشوف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الرواتب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لآخر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شهرين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موضح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جزئي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والأعمال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الجانبية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التعاقد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المستقل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Uber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PostMates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Instacart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Shipt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وغيرها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منتظم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قسائم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الرواتب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لآخر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6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أشهر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bidi w:val="1"/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الحر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أرباح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وخسائر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تاريخه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موق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قبلك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المحاسب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ونسخ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الإقرارات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الضريبية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الفيدرالية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لآخر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سنتين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نماذج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1099.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جزئي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والأعمال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الجانبية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والعمل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الحر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التعاقد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المستقل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Uber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PostMates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Instacart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Shipt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وغيرها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ينطبق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الشرط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بعمر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ممن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ليسوا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bidi w:val="1"/>
        <w:spacing w:after="200" w:line="240" w:lineRule="auto"/>
        <w:ind w:left="144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البالغين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عامل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شرح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لظروف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إقرار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بعدم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الرابط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: 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bit.ly/noincomeaffidavit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الذين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تبلغ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أعمارهم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عام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ون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طلاب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z w:val="24"/>
          <w:szCs w:val="24"/>
          <w:rtl w:val="1"/>
        </w:rPr>
        <w:t xml:space="preserve">كامل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درجات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رسمي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المؤسسة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رسمي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الجهة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يثبت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التسجيل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200" w:line="240" w:lineRule="auto"/>
        <w:jc w:val="center"/>
        <w:rPr>
          <w:rFonts w:ascii="Lora" w:cs="Lora" w:eastAsia="Lora" w:hAnsi="Lora"/>
          <w:b w:val="1"/>
          <w:bCs w:val="1"/>
          <w:i w:val="1"/>
          <w:i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غالب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ما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يتلقى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أشكال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أخرى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جانب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الأجر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الناتج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عمل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بدوام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كامل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جزئي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وفيما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يلي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أمثلة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شائعة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على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أنواع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حتسب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ضمن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إجمالي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الدخل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الكلي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للأسرة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الضمان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الاجتماعي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الاستحقاق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للسنة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يوض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قيمة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المبلغ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الشهري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الإجمالي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إلى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مساعدة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يمكن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التواصل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مكتب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الضمان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الاجتماعي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المحلي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عبر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الرقم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(800) 772-1213.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مخصصات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المحاربين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القدامى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-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استحقاق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حالي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شهري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سنوي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صادر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شؤون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المحاربين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القدامى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المعاشات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والتقاعد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استحقاق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شهري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سنوي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للسنة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الحالية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نفقة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الأطفال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عدم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استلام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المدفوعات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):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أمر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قضائي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يحدد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المبلغ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الواجب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دفعه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ولا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استخدام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سجل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المعاملات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كبديل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عدم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وجود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أمر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قضائي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إقرار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نفقة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الأطفال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عند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الحاجة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  <w:sz w:val="21"/>
          <w:szCs w:val="21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إعانات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البطالة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خطاب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الاستحقاق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الذي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يوض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قيمة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المبلغ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الذي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سيتم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صرفه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  <w:r w:rsidDel="00000000" w:rsidR="00000000" w:rsidRPr="00000000">
        <w:rPr>
          <w:rFonts w:ascii="Lora" w:cs="Lora" w:eastAsia="Lora" w:hAnsi="Lora"/>
          <w:color w:val="091f2f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bidi w:val="1"/>
        <w:spacing w:after="200" w:line="240" w:lineRule="auto"/>
        <w:jc w:val="both"/>
        <w:rPr>
          <w:rFonts w:ascii="Lora" w:cs="Lora" w:eastAsia="Lora" w:hAnsi="Lora"/>
          <w:b w:val="1"/>
          <w:bCs w:val="1"/>
          <w:i w:val="1"/>
          <w:iCs w:val="1"/>
          <w:color w:val="091f2f"/>
          <w:u w:val="single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مستندات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الأصول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أفراد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الذين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تبلغ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أعمارهم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عام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u w:val="single"/>
          <w:rtl w:val="1"/>
        </w:rPr>
        <w:t xml:space="preserve">فأكثر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00"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كشوفات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بنكية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كاملة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لآخر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ثلاثة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i w:val="1"/>
          <w:iCs w:val="1"/>
          <w:color w:val="091f2f"/>
          <w:rtl w:val="1"/>
        </w:rPr>
        <w:t xml:space="preserve">أشهر</w:t>
      </w:r>
      <w:r w:rsidDel="00000000" w:rsidR="00000000" w:rsidRPr="00000000">
        <w:rPr>
          <w:rFonts w:ascii="Lora" w:cs="Lora" w:eastAsia="Lora" w:hAnsi="Lora"/>
          <w:b w:val="1"/>
          <w:bCs w:val="1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للعناصر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التالية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لا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سجل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الحركات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الجارية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مسج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أطفالك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مشتركة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الآخرين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وإن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كانت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مستخدمة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). 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الإفصاح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دون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استثناء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المشتركة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تلك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المفتوحة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الأبناء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الآخرين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التوفير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مسج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أطفالك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مشتركة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الآخرين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وإن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كانت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غير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مستخدمة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الإفصاح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دون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استثناء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المشتركة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تلك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المفتوحة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الأبناء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الآخرين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).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منصات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الدفع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والخدمات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البنكية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الإلكترونية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–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: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Cash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App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Venmo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Apple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Pay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وغيرها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إذا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كان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لديك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هذه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المنصات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مسج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باسمك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مستنداته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يكن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نشط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مستخدم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="240" w:lineRule="auto"/>
        <w:ind w:right="60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ملحوظة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إيداع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مالي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بقيمة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100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دولار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أكثر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بما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الإيداعات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النقدية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دون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مستندات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داعمة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واضحة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يتم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احتسابه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كدخل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توضيح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لهذه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الإيداعات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خلال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ملء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نموذج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0"/>
        </w:rPr>
        <w:t xml:space="preserve">BHC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لشرح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الإيداعات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المالية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240" w:before="240" w:line="240" w:lineRule="auto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جميع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الأصول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الأخرى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—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رجى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حساب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لمدة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شهر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واحد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لأي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مما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color w:val="091f2f"/>
          <w:rtl w:val="1"/>
        </w:rPr>
        <w:t xml:space="preserve">يلي</w:t>
      </w: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1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التقاعد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الخاصة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بأفراد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الأسرة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مثل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401(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k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403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B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IRA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Roth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IRA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والمعاشات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التقاعدية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سوق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المال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الأسهم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السندات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الوساطة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Keogh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أذون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الخزانة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وغيرها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ظهر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كشوفات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معدل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العائد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السنوي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لجميع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تحقق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فوائد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bidi w:val="1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إدراج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حساب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يحمل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اسمك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أطفالك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ويشمل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ذلك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الحسابات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المشتركة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مع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الآخرين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حتى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حال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عدم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استخدامها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كشف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لحساب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يدر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فائدة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يجب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يتضمن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بوضوح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نسبة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العائد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السنوي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</w:p>
    <w:p w:rsidR="00000000" w:rsidDel="00000000" w:rsidP="00000000" w:rsidRDefault="00000000" w:rsidRPr="00000000" w14:paraId="00000038">
      <w:pPr>
        <w:bidi w:val="1"/>
        <w:spacing w:after="200"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يجب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تقديم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المستندات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التالية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قبل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الالتزام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بصرف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التمويل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،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لكنها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ليست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مطلوبة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ضمن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حزمة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الطلب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المكتملة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تصريح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بناء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معتمد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لوحدة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يلزم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نسخة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التصريح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المعتمد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قبل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الالتزام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بصرف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التمويل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المخططات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النهائية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لوحدة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0"/>
        </w:rPr>
        <w:t xml:space="preserve">ADU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المختومة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والمعتمدة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إدارة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خدمات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التفتيش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bidi w:val="1"/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إثبات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توفر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أموال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مخصصة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لإنشاء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ADU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تزيد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مبلغ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القرض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الممنوح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color w:val="091f2f"/>
          <w:rtl w:val="1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Boston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Home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Center</w:t>
      </w: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0"/>
        </w:rPr>
        <w:t xml:space="preserve">         </w:t>
      </w:r>
    </w:p>
    <w:p w:rsidR="00000000" w:rsidDel="00000000" w:rsidP="00000000" w:rsidRDefault="00000000" w:rsidRPr="00000000" w14:paraId="0000003D">
      <w:pPr>
        <w:bidi w:val="1"/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طلب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المتقدم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تقديم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معلومات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مالية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إضافية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ويجب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تزويد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مدينة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بوسطن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بجميع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المعلومات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المطلوبة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3F">
      <w:pPr>
        <w:bidi w:val="1"/>
        <w:spacing w:line="240" w:lineRule="auto"/>
        <w:jc w:val="both"/>
        <w:rPr>
          <w:rFonts w:ascii="Lora" w:cs="Lora" w:eastAsia="Lora" w:hAnsi="Lora"/>
          <w:color w:val="091f2f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shd w:fill="fff2cc" w:val="clear"/>
          <w:rtl w:val="1"/>
        </w:rPr>
        <w:t xml:space="preserve">ملاحظات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hd w:fill="fff2cc" w:val="clear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يرجى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تدوين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أي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معلومات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إضافية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ترون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أنها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قد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تساعدنا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في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معالجة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shd w:fill="fff2cc" w:val="clear"/>
          <w:rtl w:val="1"/>
        </w:rPr>
        <w:t xml:space="preserve">طلبكم</w:t>
      </w:r>
      <w:r w:rsidDel="00000000" w:rsidR="00000000" w:rsidRPr="00000000">
        <w:rPr>
          <w:rFonts w:ascii="Lora" w:cs="Lora" w:eastAsia="Lora" w:hAnsi="Lora"/>
          <w:color w:val="091f2f"/>
          <w:shd w:fill="fff2cc" w:val="clear"/>
          <w:rtl w:val="1"/>
        </w:rPr>
        <w:t xml:space="preserve">. </w:t>
      </w:r>
    </w:p>
    <w:p w:rsidR="00000000" w:rsidDel="00000000" w:rsidP="00000000" w:rsidRDefault="00000000" w:rsidRPr="00000000" w14:paraId="00000040">
      <w:pPr>
        <w:bidi w:val="1"/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2">
      <w:pPr>
        <w:bidi w:val="1"/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4">
      <w:pPr>
        <w:bidi w:val="1"/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6">
      <w:pPr>
        <w:bidi w:val="1"/>
        <w:spacing w:line="240" w:lineRule="auto"/>
        <w:jc w:val="both"/>
        <w:rPr>
          <w:rFonts w:ascii="Montserrat" w:cs="Montserrat" w:eastAsia="Montserrat" w:hAnsi="Montserrat"/>
          <w:i w:val="1"/>
          <w:i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7">
      <w:pPr>
        <w:bidi w:val="1"/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8">
      <w:pPr>
        <w:bidi w:val="1"/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omhuria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bidi w:val="1"/>
      <w:rPr>
        <w:rFonts w:ascii="Lora" w:cs="Lora" w:eastAsia="Lora" w:hAnsi="Lora"/>
        <w:i w:val="1"/>
        <w:iCs w:val="1"/>
      </w:rPr>
    </w:pPr>
    <w:r w:rsidDel="00000000" w:rsidR="00000000" w:rsidRPr="00000000">
      <w:rPr>
        <w:rFonts w:ascii="Jomhuria" w:cs="Jomhuria" w:eastAsia="Jomhuria" w:hAnsi="Jomhuria"/>
        <w:i w:val="1"/>
        <w:iCs w:val="1"/>
        <w:rtl w:val="1"/>
      </w:rPr>
      <w:t xml:space="preserve">تاريخ</w:t>
    </w:r>
    <w:r w:rsidDel="00000000" w:rsidR="00000000" w:rsidRPr="00000000">
      <w:rPr>
        <w:rFonts w:ascii="Lora" w:cs="Lora" w:eastAsia="Lora" w:hAnsi="Lora"/>
        <w:i w:val="1"/>
        <w:iCs w:val="1"/>
        <w:rtl w:val="1"/>
      </w:rPr>
      <w:t xml:space="preserve"> </w:t>
    </w:r>
    <w:r w:rsidDel="00000000" w:rsidR="00000000" w:rsidRPr="00000000">
      <w:rPr>
        <w:rFonts w:ascii="Jomhuria" w:cs="Jomhuria" w:eastAsia="Jomhuria" w:hAnsi="Jomhuria"/>
        <w:i w:val="1"/>
        <w:iCs w:val="1"/>
        <w:rtl w:val="1"/>
      </w:rPr>
      <w:t xml:space="preserve">آخر</w:t>
    </w:r>
    <w:r w:rsidDel="00000000" w:rsidR="00000000" w:rsidRPr="00000000">
      <w:rPr>
        <w:rFonts w:ascii="Lora" w:cs="Lora" w:eastAsia="Lora" w:hAnsi="Lora"/>
        <w:i w:val="1"/>
        <w:iCs w:val="1"/>
        <w:rtl w:val="1"/>
      </w:rPr>
      <w:t xml:space="preserve"> </w:t>
    </w:r>
    <w:r w:rsidDel="00000000" w:rsidR="00000000" w:rsidRPr="00000000">
      <w:rPr>
        <w:rFonts w:ascii="Jomhuria" w:cs="Jomhuria" w:eastAsia="Jomhuria" w:hAnsi="Jomhuria"/>
        <w:i w:val="1"/>
        <w:iCs w:val="1"/>
        <w:rtl w:val="1"/>
      </w:rPr>
      <w:t xml:space="preserve">تحديث</w:t>
    </w:r>
    <w:r w:rsidDel="00000000" w:rsidR="00000000" w:rsidRPr="00000000">
      <w:rPr>
        <w:rFonts w:ascii="Lora" w:cs="Lora" w:eastAsia="Lora" w:hAnsi="Lora"/>
        <w:i w:val="1"/>
        <w:iCs w:val="1"/>
        <w:rtl w:val="1"/>
      </w:rPr>
      <w:t xml:space="preserve">: 16 </w:t>
    </w:r>
    <w:r w:rsidDel="00000000" w:rsidR="00000000" w:rsidRPr="00000000">
      <w:rPr>
        <w:rFonts w:ascii="Jomhuria" w:cs="Jomhuria" w:eastAsia="Jomhuria" w:hAnsi="Jomhuria"/>
        <w:i w:val="1"/>
        <w:iCs w:val="1"/>
        <w:rtl w:val="1"/>
      </w:rPr>
      <w:t xml:space="preserve">ديسمبر</w:t>
    </w:r>
    <w:r w:rsidDel="00000000" w:rsidR="00000000" w:rsidRPr="00000000">
      <w:rPr>
        <w:rFonts w:ascii="Lora" w:cs="Lora" w:eastAsia="Lora" w:hAnsi="Lora"/>
        <w:i w:val="1"/>
        <w:iCs w:val="1"/>
        <w:rtl w:val="1"/>
      </w:rPr>
      <w:t xml:space="preserve">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bit.ly/noincomeaffidavit" TargetMode="External"/><Relationship Id="rId5" Type="http://schemas.openxmlformats.org/officeDocument/2006/relationships/styles" Target="styles.xml"/><Relationship Id="rId6" Type="http://schemas.openxmlformats.org/officeDocument/2006/relationships/hyperlink" Target="mailto:homerepairsubmission@boston.gov" TargetMode="External"/><Relationship Id="rId7" Type="http://schemas.openxmlformats.org/officeDocument/2006/relationships/hyperlink" Target="http://www.suolkdeeds.com/" TargetMode="External"/><Relationship Id="rId8" Type="http://schemas.openxmlformats.org/officeDocument/2006/relationships/hyperlink" Target="http://www.suf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Jomhuria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