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nve2wxyho9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PROGRAMA DE ASSISTÊNCIA FINANCEIRA DA 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LISTA DE VERIFICAÇÃO DA INSCRIÇÃO</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Gabinete da Prefeitura para Habitação</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O Centro Habitacional de Boston</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Obrigado pelo seu interesse no Centro Habitacional de Boston. Abaixo está uma lista dos documentos que você precisa incluir com sua inscrição. Certifique-se de incluir </w:t>
      </w:r>
      <w:r w:rsidDel="00000000" w:rsidR="00000000" w:rsidRPr="00000000">
        <w:rPr>
          <w:rFonts w:ascii="Lora" w:cs="Lora" w:eastAsia="Lora" w:hAnsi="Lora"/>
          <w:color w:val="091f2f"/>
          <w:sz w:val="24"/>
          <w:szCs w:val="24"/>
          <w:u w:val="single"/>
          <w:shd w:fill="fff2cc" w:val="clear"/>
          <w:rtl w:val="0"/>
        </w:rPr>
        <w:t xml:space="preserve">todos </w:t>
      </w:r>
      <w:r w:rsidDel="00000000" w:rsidR="00000000" w:rsidRPr="00000000">
        <w:rPr>
          <w:rFonts w:ascii="Lora" w:cs="Lora" w:eastAsia="Lora" w:hAnsi="Lora"/>
          <w:color w:val="091f2f"/>
          <w:sz w:val="24"/>
          <w:szCs w:val="24"/>
          <w:shd w:fill="fff2cc" w:val="clear"/>
          <w:rtl w:val="0"/>
        </w:rPr>
        <w:t xml:space="preserve">os documentos exigidos listados. </w:t>
      </w:r>
      <w:r w:rsidDel="00000000" w:rsidR="00000000" w:rsidRPr="00000000">
        <w:rPr>
          <w:rFonts w:ascii="Lora" w:cs="Lora" w:eastAsia="Lora" w:hAnsi="Lora"/>
          <w:b w:val="1"/>
          <w:bCs w:val="1"/>
          <w:color w:val="091f2f"/>
          <w:sz w:val="24"/>
          <w:szCs w:val="24"/>
          <w:shd w:fill="fff2cc" w:val="clear"/>
          <w:rtl w:val="0"/>
        </w:rPr>
        <w:t xml:space="preserve">Não analisaremos inscrições incompletas.</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Quando sua inscrição estiver completa, envie-a por e-mail para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ou envie-os por correio para:</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O Centro Habitacional de Boston</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Attn: Programas de assistência ao proprietário</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8th Floor</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Assim que recebermos este pacote, iremos notificá-lo por escrito sobre o status da sua inscrição.</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DOCUMENTOS EXIGIDOS A TODOS OS CANDIDATOS:</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shd w:fill="fff2cc" w:val="clear"/>
          <w:rtl w:val="0"/>
        </w:rPr>
        <w:t xml:space="preserve">Formulário de inscrição</w:t>
      </w:r>
      <w:r w:rsidDel="00000000" w:rsidR="00000000" w:rsidRPr="00000000">
        <w:rPr>
          <w:rFonts w:ascii="Lora" w:cs="Lora" w:eastAsia="Lora" w:hAnsi="Lora"/>
          <w:b w:val="1"/>
          <w:bCs w:val="1"/>
          <w:color w:val="091f2f"/>
          <w:sz w:val="24"/>
          <w:szCs w:val="24"/>
          <w:shd w:fill="fff2cc" w:val="clear"/>
          <w:rtl w:val="0"/>
        </w:rPr>
        <w:t xml:space="preserve">preenchido e assinado.</w:t>
      </w:r>
      <w:r w:rsidDel="00000000" w:rsidR="00000000" w:rsidRPr="00000000">
        <w:rPr>
          <w:rFonts w:ascii="Lora" w:cs="Lora" w:eastAsia="Lora" w:hAnsi="Lora"/>
          <w:color w:val="091f2f"/>
          <w:sz w:val="24"/>
          <w:szCs w:val="24"/>
          <w:rtl w:val="0"/>
        </w:rPr>
        <w:t xml:space="preserve"> Todos os membros do agregado familiar devem constar do formulário de inscrição. Se uma pessoa parece morar na residência (por exemplo, pertences pessoais na casa, recebimento de correspondência no endereço, endereço no documento de identidade, etc.), ela deve ser incluída como membro da família, mesmo que não conste no contrato de locação. Todos os indivíduos com 18 anos ou mais listados como membros do agregado familiar devem apresentar as informações exigidas sobre rendimentos, contas bancárias e bens, mesmo que não sejam proprietários da habitação.</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Divulgação do Programa</w:t>
      </w:r>
      <w:r w:rsidDel="00000000" w:rsidR="00000000" w:rsidRPr="00000000">
        <w:rPr>
          <w:rFonts w:ascii="Lora" w:cs="Lora" w:eastAsia="Lora" w:hAnsi="Lora"/>
          <w:color w:val="091f2f"/>
          <w:sz w:val="24"/>
          <w:szCs w:val="24"/>
          <w:shd w:fill="fff2cc" w:val="clear"/>
          <w:rtl w:val="0"/>
        </w:rPr>
        <w:t xml:space="preserve"> preenchida e assinada.</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Comprovante de propriedade -</w:t>
      </w:r>
      <w:r w:rsidDel="00000000" w:rsidR="00000000" w:rsidRPr="00000000">
        <w:rPr>
          <w:rFonts w:ascii="Lora" w:cs="Lora" w:eastAsia="Lora" w:hAnsi="Lora"/>
          <w:color w:val="091f2f"/>
          <w:sz w:val="24"/>
          <w:szCs w:val="24"/>
          <w:rtl w:val="0"/>
        </w:rPr>
        <w:t xml:space="preserve"> Uma cópia da escritura de propriedade e garantia (também chamada de escritura de renúncia). Se for divorciado, forneça uma cópia completa da sentença de divórcio, conforme registrada no cartório do tribunal. Os candidatos devem ser proprietários do imóvel a ser reabilitado há pelo menos dez anos. Uma cópia da escritura de renúncia de direitos pode ser obtida no Tribunal Edward Brooke - Registro de Títulos, 24 New Chardon Street, Boston, ou acesse</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Se um ou mais proprietários faleceram, forneça a(s) certidão(ões) de óbito.</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Se necessário, uma certidão de óbito original para todas as pessoas falecidas listadas na escritura registrada (se não estiver registrada no Registro de Escrituras de Suffolk). A certidão de óbito pode ser obtida no Registro Civil, Prefeitura, Sala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Cópia da apólice de</w:t>
      </w:r>
      <w:r w:rsidDel="00000000" w:rsidR="00000000" w:rsidRPr="00000000">
        <w:rPr>
          <w:rFonts w:ascii="Lora" w:cs="Lora" w:eastAsia="Lora" w:hAnsi="Lora"/>
          <w:b w:val="1"/>
          <w:bCs w:val="1"/>
          <w:color w:val="091f2f"/>
          <w:sz w:val="24"/>
          <w:szCs w:val="24"/>
          <w:shd w:fill="fff2cc" w:val="clear"/>
          <w:rtl w:val="0"/>
        </w:rPr>
        <w:t xml:space="preserve"> seguro residencial atual.</w:t>
      </w:r>
      <w:r w:rsidDel="00000000" w:rsidR="00000000" w:rsidRPr="00000000">
        <w:rPr>
          <w:rFonts w:ascii="Lora" w:cs="Lora" w:eastAsia="Lora" w:hAnsi="Lora"/>
          <w:color w:val="091f2f"/>
          <w:sz w:val="24"/>
          <w:szCs w:val="24"/>
          <w:shd w:fill="fff2cc" w:val="clear"/>
          <w:rtl w:val="0"/>
        </w:rPr>
        <w:t xml:space="preserve"> Se a residência estiver localizada em uma área designada como planície aluvial, é necessária a apresentação de documentação comprovando a cobertura contra inundações.</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Extrato atual da Hipoteca</w:t>
      </w:r>
      <w:r w:rsidDel="00000000" w:rsidR="00000000" w:rsidRPr="00000000">
        <w:rPr>
          <w:rFonts w:ascii="Lora" w:cs="Lora" w:eastAsia="Lora" w:hAnsi="Lora"/>
          <w:color w:val="091f2f"/>
          <w:sz w:val="24"/>
          <w:szCs w:val="24"/>
          <w:shd w:fill="fff2cc" w:val="clear"/>
          <w:rtl w:val="0"/>
        </w:rPr>
        <w:t xml:space="preserve"> para todos os empréstimos sobre imóveis, incluindo quaisquer empréstimos sobre o valor líquido ou para reabilitação. Inclua uma carta explicando o uso do empréstimo com garantia imobiliária.</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Cópia das contas de serviços públicos mais recentes (eletricidade, gás natural e água).</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Planos arquitetônicos (finalizados ou em forma de rascunho) da sua ADU proposta.</w:t>
      </w:r>
      <w:r w:rsidDel="00000000" w:rsidR="00000000" w:rsidRPr="00000000">
        <w:rPr>
          <w:rFonts w:ascii="Lora" w:cs="Lora" w:eastAsia="Lora" w:hAnsi="Lora"/>
          <w:sz w:val="24"/>
          <w:szCs w:val="24"/>
          <w:rtl w:val="0"/>
        </w:rPr>
        <w:t xml:space="preserve"> Esses desenhos devem ter sido elaborados por um arquiteto ou engenheiro estrutural licenciado. </w:t>
      </w:r>
      <w:r w:rsidDel="00000000" w:rsidR="00000000" w:rsidRPr="00000000">
        <w:rPr>
          <w:rFonts w:ascii="Lora" w:cs="Lora" w:eastAsia="Lora" w:hAnsi="Lora"/>
          <w:i w:val="1"/>
          <w:iCs w:val="1"/>
          <w:sz w:val="24"/>
          <w:szCs w:val="24"/>
          <w:rtl w:val="0"/>
        </w:rPr>
        <w:t xml:space="preserve">Observe que exigiremos uma cópia dos seus planos aprovados, carimbados pelo Departamento de Serviços de Inspeção, antes que os fundos sejam totalmente comprometidos.</w:t>
      </w:r>
      <w:r w:rsidDel="00000000" w:rsidR="00000000" w:rsidRPr="00000000">
        <w:rPr>
          <w:rFonts w:ascii="Lora" w:cs="Lora" w:eastAsia="Lora" w:hAnsi="Lora"/>
          <w:sz w:val="24"/>
          <w:szCs w:val="24"/>
          <w:rtl w:val="0"/>
        </w:rPr>
        <w:t xml:space="preserve"> No entanto, você pode se inscrever com um conjunto de planos </w:t>
      </w:r>
      <w:r w:rsidDel="00000000" w:rsidR="00000000" w:rsidRPr="00000000">
        <w:rPr>
          <w:rFonts w:ascii="Lora" w:cs="Lora" w:eastAsia="Lora" w:hAnsi="Lora"/>
          <w:sz w:val="24"/>
          <w:szCs w:val="24"/>
          <w:u w:val="single"/>
          <w:rtl w:val="0"/>
        </w:rPr>
        <w:t xml:space="preserve">preliminares.</w:t>
      </w:r>
      <w:r w:rsidDel="00000000" w:rsidR="00000000" w:rsidRPr="00000000">
        <w:rPr>
          <w:rtl w:val="0"/>
        </w:rPr>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Duas (2) estimativas de empreiteiros licenciados para o custo de construção da sua ADU.</w:t>
      </w:r>
      <w:r w:rsidDel="00000000" w:rsidR="00000000" w:rsidRPr="00000000">
        <w:rPr>
          <w:rFonts w:ascii="Lora" w:cs="Lora" w:eastAsia="Lora" w:hAnsi="Lora"/>
          <w:color w:val="091f2f"/>
          <w:sz w:val="24"/>
          <w:szCs w:val="24"/>
          <w:rtl w:val="0"/>
        </w:rPr>
        <w:t xml:space="preserve"> Inclua uma cópia dos seguintes documentos do empreiteiro escolhido: Certificado de Registro de Empreiteiro de Reformas Residenciais (HIC) do Estado de Massachusetts, Licença de Supervisor de Construção (CSL), Licença de Reformador Seguro contra Chumbo do Estado de Massachusetts ou Certificado de Reformador da EPA e Seguro de Responsabilidade Civil do Empreiteiro.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Uma Narrativa</w:t>
      </w:r>
      <w:r w:rsidDel="00000000" w:rsidR="00000000" w:rsidRPr="00000000">
        <w:rPr>
          <w:rFonts w:ascii="Lora" w:cs="Lora" w:eastAsia="Lora" w:hAnsi="Lora"/>
          <w:b w:val="1"/>
          <w:bCs w:val="1"/>
          <w:sz w:val="24"/>
          <w:szCs w:val="24"/>
          <w:rtl w:val="0"/>
        </w:rPr>
        <w:t xml:space="preserve">Orçamental ADU finalizada, </w:t>
      </w:r>
      <w:r w:rsidDel="00000000" w:rsidR="00000000" w:rsidRPr="00000000">
        <w:rPr>
          <w:rFonts w:ascii="Lora" w:cs="Lora" w:eastAsia="Lora" w:hAnsi="Lora"/>
          <w:sz w:val="24"/>
          <w:szCs w:val="24"/>
          <w:rtl w:val="0"/>
        </w:rPr>
        <w:t xml:space="preserve">que contenha as seguintes informações: custos estimados do projeto (incluindo todos os custos pré-construção), contingência do projeto e fontes de financiamento claramente discriminadas.</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Um </w:t>
      </w:r>
      <w:r w:rsidDel="00000000" w:rsidR="00000000" w:rsidRPr="00000000">
        <w:rPr>
          <w:rFonts w:ascii="Lora" w:cs="Lora" w:eastAsia="Lora" w:hAnsi="Lora"/>
          <w:b w:val="1"/>
          <w:bCs w:val="1"/>
          <w:sz w:val="24"/>
          <w:szCs w:val="24"/>
          <w:rtl w:val="0"/>
        </w:rPr>
        <w:t xml:space="preserve">formulário W-9</w:t>
      </w:r>
      <w:r w:rsidDel="00000000" w:rsidR="00000000" w:rsidRPr="00000000">
        <w:rPr>
          <w:rFonts w:ascii="Lora" w:cs="Lora" w:eastAsia="Lora" w:hAnsi="Lora"/>
          <w:sz w:val="24"/>
          <w:szCs w:val="24"/>
          <w:rtl w:val="0"/>
        </w:rPr>
        <w:t xml:space="preserve"> preenchido.</w:t>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Documentação de renda, exigida de todos os membros da família com 18 anos ou mais:</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Cópia da última declaração de imposto de renda federal assinada, incluindo os formulários W-2 e todos os anexos. (Formulário 1040, 1040A ou 1040EZ do IRS).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Se for trabalhador autônomo, forneça uma declaração de lucros e perdas acumulados no ano, assinada por você e seu contador, e cópias das declarações de imposto de renda federal dos últimos dois anos.</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Os últimos dois meses de folhas de pagamento</w:t>
      </w:r>
      <w:r w:rsidDel="00000000" w:rsidR="00000000" w:rsidRPr="00000000">
        <w:rPr>
          <w:rFonts w:ascii="Lora" w:cs="Lora" w:eastAsia="Lora" w:hAnsi="Lora"/>
          <w:color w:val="091f2f"/>
          <w:sz w:val="24"/>
          <w:szCs w:val="24"/>
          <w:rtl w:val="0"/>
        </w:rPr>
        <w:t xml:space="preserve">, mostrando o salário bruto. Isso inclui trabalho em tempo parcial, trabalhos paralelos, trabalhos independentes como Uber, PostMates, Instacart, Shipt, etc. Se o salário atual for inconsistente, forneça os contracheques dos últimos 6 meses.</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Se for trabalhador autônomo, forneça uma declaração de lucros e perdas acumulados no ano, assinada por você e seu contador, e cópias das declarações de imposto de renda federal dos últimos dois anos, incluindo o formulário 1099. Isso inclui trabalho em tempo parcial, trabalhos paralelos, trabalhos independentes como Uber, PostMates, Instacart, Shipt, etc. </w:t>
      </w:r>
      <w:r w:rsidDel="00000000" w:rsidR="00000000" w:rsidRPr="00000000">
        <w:rPr>
          <w:rFonts w:ascii="Lora" w:cs="Lora" w:eastAsia="Lora" w:hAnsi="Lora"/>
          <w:b w:val="1"/>
          <w:bCs w:val="1"/>
          <w:color w:val="091f2f"/>
          <w:sz w:val="24"/>
          <w:szCs w:val="24"/>
          <w:rtl w:val="0"/>
        </w:rPr>
        <w:t xml:space="preserve">Este requisito também se aplica a todos os membros do agregado familiar com idade igual ou superior a 18 anos que não sejam estudantes a tempo inteiro.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Se um membro adulto da família estiver atualmente desempregado, </w:t>
      </w:r>
      <w:r w:rsidDel="00000000" w:rsidR="00000000" w:rsidRPr="00000000">
        <w:rPr>
          <w:rFonts w:ascii="Lora" w:cs="Lora" w:eastAsia="Lora" w:hAnsi="Lora"/>
          <w:color w:val="091f2f"/>
          <w:sz w:val="24"/>
          <w:szCs w:val="24"/>
          <w:rtl w:val="0"/>
        </w:rPr>
        <w:t xml:space="preserve">uma explicação das circunstâncias e uma declaração de rendimentos nulos devem ser apresentadas: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Os membros da família com 18 anos ou mais que sejam estudantes em tempo integral devem apresentar um histórico escolar OU uma carta da instituição de ensino indicando sua matrícula em tempo integral.</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Muitas vezes, os membros da família podem estar recebendo outra forma de renda além do salário de um emprego em tempo integral ou parcial. Aqui estão algumas formas comuns de renda que contam para sua renda bruta total: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Segurança Social: carta de concessão do ano corrente indicando o valor bruto mensal. Se precisar de ajuda, entre em contato com o escritório local do Seguro Social pelo telefone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Remuneração dos veteranos: carta de concessão do ano atual ou mensal da Administração dos Veteranos.</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Pensões e remuneração de aposentadoria: ano atual ou carta de concessão mensal.</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Pensão alimentícia (mesmo que não receba os pagamentos): Ordem judicial indicando o valor a ser pago, não é possível utilizar um registro de transações. Se não houver nenhuma ordem judicial em vigor, solicite uma Declaração Juramentada de Pensão Alimentícia, conforme necessário.</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Subsídio de desemprego: carta de concessão indicando o valor a receber.</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Documentação patrimonial, exigida de todos os membros da família com 18 anos ou mais:</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Favor apresentar </w:t>
      </w:r>
      <w:r w:rsidDel="00000000" w:rsidR="00000000" w:rsidRPr="00000000">
        <w:rPr>
          <w:rFonts w:ascii="Lora" w:cs="Lora" w:eastAsia="Lora" w:hAnsi="Lora"/>
          <w:b w:val="1"/>
          <w:bCs w:val="1"/>
          <w:i w:val="1"/>
          <w:iCs w:val="1"/>
          <w:color w:val="091f2f"/>
          <w:rtl w:val="0"/>
        </w:rPr>
        <w:t xml:space="preserve">extratos bancários completos dos últimos três meses</w:t>
      </w:r>
      <w:r w:rsidDel="00000000" w:rsidR="00000000" w:rsidRPr="00000000">
        <w:rPr>
          <w:rFonts w:ascii="Lora" w:cs="Lora" w:eastAsia="Lora" w:hAnsi="Lora"/>
          <w:i w:val="1"/>
          <w:iCs w:val="1"/>
          <w:color w:val="091f2f"/>
          <w:rtl w:val="0"/>
        </w:rPr>
        <w:t xml:space="preserve"> para os itens</w:t>
      </w:r>
      <w:r w:rsidDel="00000000" w:rsidR="00000000" w:rsidRPr="00000000">
        <w:rPr>
          <w:rFonts w:ascii="Lora" w:cs="Lora" w:eastAsia="Lora" w:hAnsi="Lora"/>
          <w:color w:val="091f2f"/>
          <w:rtl w:val="0"/>
        </w:rPr>
        <w:t xml:space="preserve"> </w:t>
      </w:r>
      <w:r w:rsidDel="00000000" w:rsidR="00000000" w:rsidRPr="00000000">
        <w:rPr>
          <w:rFonts w:ascii="Lora" w:cs="Lora" w:eastAsia="Lora" w:hAnsi="Lora"/>
          <w:i w:val="1"/>
          <w:iCs w:val="1"/>
          <w:color w:val="091f2f"/>
          <w:rtl w:val="0"/>
        </w:rPr>
        <w:t xml:space="preserve">abaixo. Históricos de transações não serão aceitos.</w:t>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as Contas Correntes: </w:t>
      </w:r>
      <w:r w:rsidDel="00000000" w:rsidR="00000000" w:rsidRPr="00000000">
        <w:rPr>
          <w:rFonts w:ascii="Lora" w:cs="Lora" w:eastAsia="Lora" w:hAnsi="Lora"/>
          <w:color w:val="091f2f"/>
          <w:rtl w:val="0"/>
        </w:rPr>
        <w:t xml:space="preserve">Inclua todas as contas em seu nome, no nome dos seus filhos ou contas conjuntas (mesmo que não sejam utilizadas).  Deve incluir todas as contas (mesmo aquelas com filhos ou outras pessoas), incluindo contas conjuntas, mesmo que você não as utilize.</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as Contas Poupança:</w:t>
      </w:r>
      <w:r w:rsidDel="00000000" w:rsidR="00000000" w:rsidRPr="00000000">
        <w:rPr>
          <w:rFonts w:ascii="Lora" w:cs="Lora" w:eastAsia="Lora" w:hAnsi="Lora"/>
          <w:color w:val="091f2f"/>
          <w:rtl w:val="0"/>
        </w:rPr>
        <w:t xml:space="preserve"> Inclua todas as contas em seu nome, no nome dos seus filhos ou contas conjuntas (mesmo que não sejam utilizadas). Deve incluir todas as contas (mesmo aquelas com filhos ou outras pessoas), incluindo contas conjuntas, mesmo que você não as utilize.</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as Plataformas de Banco Online </w:t>
      </w:r>
      <w:r w:rsidDel="00000000" w:rsidR="00000000" w:rsidRPr="00000000">
        <w:rPr>
          <w:rFonts w:ascii="Lora" w:cs="Lora" w:eastAsia="Lora" w:hAnsi="Lora"/>
          <w:color w:val="091f2f"/>
          <w:rtl w:val="0"/>
        </w:rPr>
        <w:t xml:space="preserve">– Exemplos: Contas Cash App, Venmo, Apple Pay, etc. Se você tiver alguma dessas contas em seu nome, DEVE enviar os documentos, mesmo que não utilize a conta.</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color w:val="091f2f"/>
          <w:rtl w:val="0"/>
        </w:rPr>
        <w:t xml:space="preserve">Observação:</w:t>
      </w:r>
      <w:r w:rsidDel="00000000" w:rsidR="00000000" w:rsidRPr="00000000">
        <w:rPr>
          <w:rFonts w:ascii="Lora" w:cs="Lora" w:eastAsia="Lora" w:hAnsi="Lora"/>
          <w:b w:val="1"/>
          <w:bCs w:val="1"/>
          <w:color w:val="091f2f"/>
          <w:rtl w:val="0"/>
        </w:rPr>
        <w:t xml:space="preserve"> Quaisquer depósitos de 100 dólares ou mais, incluindo depósitos em dinheiro, sem a documentação adequada, podem ser contabilizados como rendimento. Forneça explicações para esses depósitos utilizando o nosso Formulário de Explicação de Depósito BHC.</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Todos os outros ativos - envie um extrato de 1 mês para qualquer um dos seguintes itens:</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Contas de aposentadoria domésticas, como 401(k), 403B, IRA, Roth IRA, pensão</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Mercado monetário, ações, títulos, contas de corretagem, Keogh, títulos do Tesouro, etc.</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Os extratos devem indicar a Taxa de Rendimento Anual (APY) para todas as contas que rendem juros.</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Deve incluir todas as contas em seu nome ou no nome dos seus filhos, incluindo contas conjuntas com outras pessoas, mesmo que não as utilize. (As declarações devem indicar a Taxa de Rendimento Anual (APY) para todos os juros remunerados.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OS SEGUINTES ITENS DEVEM SER ENVIADOS ANTES DA CONCESSÃO DOS FUNDOS, MAS NÃO SÃO NECESSÁRIOS COMO PARTE DO SEU PACOTE DE INSCRIÇÃO COMPLETO.</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Uma licença de construção aprovada para sua ADU. Uma cópia da sua licença aprovada será necessária antes que os fundos sejam comprometidos.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Planos finais da ADU que foram carimbados e aprovados pela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color w:val="091f2f"/>
          <w:rtl w:val="0"/>
        </w:rPr>
        <w:t xml:space="preserve">Comprovante de fundos disponíveis para a construção da ADU que excedam o valor que você receberá em um empréstimo do Boston Home Center.</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Informações financeiras adicionais podem ser solicitadas ao requerente. Todas as informações solicitadas devem ser fornecidas à cidade de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Observações:</w:t>
      </w:r>
      <w:r w:rsidDel="00000000" w:rsidR="00000000" w:rsidRPr="00000000">
        <w:rPr>
          <w:rFonts w:ascii="Lora" w:cs="Lora" w:eastAsia="Lora" w:hAnsi="Lora"/>
          <w:color w:val="091f2f"/>
          <w:shd w:fill="fff2cc" w:val="clear"/>
          <w:rtl w:val="0"/>
        </w:rPr>
        <w:t xml:space="preserve"> Insira qualquer informação adicional que considere importante para o processamento da sua candidatura.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Última atualização em 16 de dezembro de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