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oa95eisvfw2n"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ПРОГРАММА ФИНАНСОВОЙ ПОМОЩИ ДЛЯ СТРОИТЕЛЬСТВА ADU</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КОНТРОЛЬНЫЙ СПИСОК ДЛЯ ПОДАЧИ ЗАЯВЛЕНИЯ</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Управление мэра по жилищным вопросам</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Boston Home Center</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Благодарим вас за проявленный интерес к Boston Home Center. Ниже приведён список документов, которые необходимо приложить к заявлению. Пожалуйста, убедитесь, что вы приложили </w:t>
      </w:r>
      <w:r w:rsidDel="00000000" w:rsidR="00000000" w:rsidRPr="00000000">
        <w:rPr>
          <w:rFonts w:ascii="Lora" w:cs="Lora" w:eastAsia="Lora" w:hAnsi="Lora"/>
          <w:color w:val="091f2f"/>
          <w:sz w:val="24"/>
          <w:szCs w:val="24"/>
          <w:u w:val="single"/>
          <w:shd w:fill="fff2cc" w:val="clear"/>
          <w:rtl w:val="0"/>
        </w:rPr>
        <w:t xml:space="preserve">все</w:t>
      </w:r>
      <w:r w:rsidDel="00000000" w:rsidR="00000000" w:rsidRPr="00000000">
        <w:rPr>
          <w:rFonts w:ascii="Lora" w:cs="Lora" w:eastAsia="Lora" w:hAnsi="Lora"/>
          <w:color w:val="091f2f"/>
          <w:sz w:val="24"/>
          <w:szCs w:val="24"/>
          <w:shd w:fill="fff2cc" w:val="clear"/>
          <w:rtl w:val="0"/>
        </w:rPr>
        <w:t xml:space="preserve"> необходимые документы из списка. </w:t>
      </w:r>
      <w:r w:rsidDel="00000000" w:rsidR="00000000" w:rsidRPr="00000000">
        <w:rPr>
          <w:rFonts w:ascii="Lora" w:cs="Lora" w:eastAsia="Lora" w:hAnsi="Lora"/>
          <w:b w:val="1"/>
          <w:bCs w:val="1"/>
          <w:color w:val="091f2f"/>
          <w:sz w:val="24"/>
          <w:szCs w:val="24"/>
          <w:shd w:fill="fff2cc" w:val="clear"/>
          <w:rtl w:val="0"/>
        </w:rPr>
        <w:t xml:space="preserve">Мы не будем рассматривать неполные пакеты документов.</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После того, как вы заполните заявление, включая все перечисленные ниже документы, отправьте их по электронной почте </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или по обычной почте:</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Home Center</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Attn: Homeowner Assistance Programs</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Court Street, 8th Floor</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После получения данного пакета документов мы уведомим вас в письменной форме о статусе вашего заявления.</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ДОКУМЕНТЫ, НЕОБХОДИМЫЕ ОТ ВСЕХ ЗАЯВИТЕЛЕЙ:</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shd w:fill="fff2cc" w:val="clear"/>
          <w:rtl w:val="0"/>
        </w:rPr>
        <w:t xml:space="preserve">Заполненное и подписанное </w:t>
      </w:r>
      <w:r w:rsidDel="00000000" w:rsidR="00000000" w:rsidRPr="00000000">
        <w:rPr>
          <w:rFonts w:ascii="Lora" w:cs="Lora" w:eastAsia="Lora" w:hAnsi="Lora"/>
          <w:b w:val="1"/>
          <w:bCs w:val="1"/>
          <w:color w:val="091f2f"/>
          <w:sz w:val="24"/>
          <w:szCs w:val="24"/>
          <w:shd w:fill="fff2cc" w:val="clear"/>
          <w:rtl w:val="0"/>
        </w:rPr>
        <w:t xml:space="preserve">заявление на участие в программе.</w:t>
      </w:r>
      <w:r w:rsidDel="00000000" w:rsidR="00000000" w:rsidRPr="00000000">
        <w:rPr>
          <w:rFonts w:ascii="Lora" w:cs="Lora" w:eastAsia="Lora" w:hAnsi="Lora"/>
          <w:color w:val="091f2f"/>
          <w:sz w:val="24"/>
          <w:szCs w:val="24"/>
          <w:rtl w:val="0"/>
        </w:rPr>
        <w:t xml:space="preserve"> В заявлении необходимо указать всех членов домохозяйства. Если человек, как представляется, проживает в домохозяйстве (например, личные вещи находятся в доме, он получает почту по указанному адресу, адрес указан в удостоверении личности и т. д.), его необходимо включить в список членов домохозяйства — даже если он не указан в кредитном договоре. Все лица в возрасте 18 лет и старше, указанные в качестве членов домохозяйства, должны предоставить необходимую информацию о доходах, банковских счетах и ​активах, даже если они не являются владельцами жилья.</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Заполненное и подписанное </w:t>
      </w:r>
      <w:r w:rsidDel="00000000" w:rsidR="00000000" w:rsidRPr="00000000">
        <w:rPr>
          <w:rFonts w:ascii="Lora" w:cs="Lora" w:eastAsia="Lora" w:hAnsi="Lora"/>
          <w:b w:val="1"/>
          <w:bCs w:val="1"/>
          <w:color w:val="091f2f"/>
          <w:sz w:val="24"/>
          <w:szCs w:val="24"/>
          <w:shd w:fill="fff2cc" w:val="clear"/>
          <w:rtl w:val="0"/>
        </w:rPr>
        <w:t xml:space="preserve">уведомление о</w:t>
      </w:r>
      <w:r w:rsidDel="00000000" w:rsidR="00000000" w:rsidRPr="00000000">
        <w:rPr>
          <w:rFonts w:ascii="Lora" w:cs="Lora" w:eastAsia="Lora" w:hAnsi="Lora"/>
          <w:color w:val="091f2f"/>
          <w:sz w:val="24"/>
          <w:szCs w:val="24"/>
          <w:shd w:fill="fff2cc" w:val="clear"/>
          <w:rtl w:val="0"/>
        </w:rPr>
        <w:t xml:space="preserve"> </w:t>
      </w:r>
      <w:r w:rsidDel="00000000" w:rsidR="00000000" w:rsidRPr="00000000">
        <w:rPr>
          <w:rFonts w:ascii="Lora" w:cs="Lora" w:eastAsia="Lora" w:hAnsi="Lora"/>
          <w:b w:val="1"/>
          <w:bCs w:val="1"/>
          <w:color w:val="091f2f"/>
          <w:sz w:val="24"/>
          <w:szCs w:val="24"/>
          <w:shd w:fill="fff2cc" w:val="clear"/>
          <w:rtl w:val="0"/>
        </w:rPr>
        <w:t xml:space="preserve">программе.</w:t>
      </w:r>
      <w:r w:rsidDel="00000000" w:rsidR="00000000" w:rsidRPr="00000000">
        <w:rPr>
          <w:rtl w:val="0"/>
        </w:rPr>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Подтверждение права собственности</w:t>
      </w:r>
      <w:r w:rsidDel="00000000" w:rsidR="00000000" w:rsidRPr="00000000">
        <w:rPr>
          <w:rFonts w:ascii="Lora" w:cs="Lora" w:eastAsia="Lora" w:hAnsi="Lora"/>
          <w:color w:val="091f2f"/>
          <w:sz w:val="24"/>
          <w:szCs w:val="24"/>
          <w:rtl w:val="0"/>
        </w:rPr>
        <w:t xml:space="preserve"> — копия свидетельства о праве собственности на жилой дом и гарантийного акта (также называемого актом об претензий). В случае развода предоставьте полную копию решения о разводе, зарегистрированного в канцелярии суда. Заявители должны владеть недвижимостью, подлежащей реконструкции, как минимум в течение последних десяти лет. Копию договора об отказе от претензий можно получить по адресу: Edward Brooke Courthouse - Registry of Deeds, 24 New Chardon Street, Boston, или посетите</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Если один или несколько владельцев умерли, предоставьте свидетельство (свидетельства) о смерти.</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При необходимости предоставьте оригинал свидетельства о смерти всех умерших лиц, указанных в зарегистрированном документе (если он не был зарегистрирован в Реестре документов графства Саффолк). Свидетельство о смерти можно получить в ЗАГСе по адресу: City Hall, Room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Копия </w:t>
      </w:r>
      <w:r w:rsidDel="00000000" w:rsidR="00000000" w:rsidRPr="00000000">
        <w:rPr>
          <w:rFonts w:ascii="Lora" w:cs="Lora" w:eastAsia="Lora" w:hAnsi="Lora"/>
          <w:b w:val="1"/>
          <w:bCs w:val="1"/>
          <w:color w:val="091f2f"/>
          <w:sz w:val="24"/>
          <w:szCs w:val="24"/>
          <w:shd w:fill="fff2cc" w:val="clear"/>
          <w:rtl w:val="0"/>
        </w:rPr>
        <w:t xml:space="preserve">действующего полиса страхования жилья.</w:t>
      </w:r>
      <w:r w:rsidDel="00000000" w:rsidR="00000000" w:rsidRPr="00000000">
        <w:rPr>
          <w:rFonts w:ascii="Lora" w:cs="Lora" w:eastAsia="Lora" w:hAnsi="Lora"/>
          <w:color w:val="091f2f"/>
          <w:sz w:val="24"/>
          <w:szCs w:val="24"/>
          <w:shd w:fill="fff2cc" w:val="clear"/>
          <w:rtl w:val="0"/>
        </w:rPr>
        <w:t xml:space="preserve"> Если дом расположен в обозначенной зоне затопления, требуется документальное подтверждение наличия страхового покрытия от наводнений.</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Текущая </w:t>
      </w:r>
      <w:r w:rsidDel="00000000" w:rsidR="00000000" w:rsidRPr="00000000">
        <w:rPr>
          <w:rFonts w:ascii="Lora" w:cs="Lora" w:eastAsia="Lora" w:hAnsi="Lora"/>
          <w:b w:val="1"/>
          <w:bCs w:val="1"/>
          <w:color w:val="091f2f"/>
          <w:sz w:val="24"/>
          <w:szCs w:val="24"/>
          <w:shd w:fill="fff2cc" w:val="clear"/>
          <w:rtl w:val="0"/>
        </w:rPr>
        <w:t xml:space="preserve">выписка по ипотечному кредиту</w:t>
      </w:r>
      <w:r w:rsidDel="00000000" w:rsidR="00000000" w:rsidRPr="00000000">
        <w:rPr>
          <w:rFonts w:ascii="Lora" w:cs="Lora" w:eastAsia="Lora" w:hAnsi="Lora"/>
          <w:color w:val="091f2f"/>
          <w:sz w:val="24"/>
          <w:szCs w:val="24"/>
          <w:shd w:fill="fff2cc" w:val="clear"/>
          <w:rtl w:val="0"/>
        </w:rPr>
        <w:t xml:space="preserve"> по всем займам, выданным под залог недвижимости, включая любые кредиты под залог собственного капитала или кредиты на реконструкцию. Приложите пояснительное письмо об использовании заемных средств, полученных в виде акционерного капитала.</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Копия </w:t>
      </w:r>
      <w:r w:rsidDel="00000000" w:rsidR="00000000" w:rsidRPr="00000000">
        <w:rPr>
          <w:rFonts w:ascii="Lora" w:cs="Lora" w:eastAsia="Lora" w:hAnsi="Lora"/>
          <w:b w:val="1"/>
          <w:bCs w:val="1"/>
          <w:color w:val="091f2f"/>
          <w:sz w:val="24"/>
          <w:szCs w:val="24"/>
          <w:rtl w:val="0"/>
        </w:rPr>
        <w:t xml:space="preserve">последних счетов за коммунальные услуги</w:t>
      </w:r>
      <w:r w:rsidDel="00000000" w:rsidR="00000000" w:rsidRPr="00000000">
        <w:rPr>
          <w:rFonts w:ascii="Lora" w:cs="Lora" w:eastAsia="Lora" w:hAnsi="Lora"/>
          <w:color w:val="091f2f"/>
          <w:sz w:val="24"/>
          <w:szCs w:val="24"/>
          <w:rtl w:val="0"/>
        </w:rPr>
        <w:t xml:space="preserve"> (электричество, природный газ и вода).</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Архитектурные планы (в окончательном или предварительном виде) предлагаемой вами ADU.</w:t>
      </w:r>
      <w:r w:rsidDel="00000000" w:rsidR="00000000" w:rsidRPr="00000000">
        <w:rPr>
          <w:rFonts w:ascii="Lora" w:cs="Lora" w:eastAsia="Lora" w:hAnsi="Lora"/>
          <w:sz w:val="24"/>
          <w:szCs w:val="24"/>
          <w:rtl w:val="0"/>
        </w:rPr>
        <w:t xml:space="preserve"> Эти чертежи должны быть подготовлены лицензированным архитектором или инженером-конструктором. </w:t>
      </w:r>
      <w:r w:rsidDel="00000000" w:rsidR="00000000" w:rsidRPr="00000000">
        <w:rPr>
          <w:rFonts w:ascii="Lora" w:cs="Lora" w:eastAsia="Lora" w:hAnsi="Lora"/>
          <w:i w:val="1"/>
          <w:iCs w:val="1"/>
          <w:sz w:val="24"/>
          <w:szCs w:val="24"/>
          <w:rtl w:val="0"/>
        </w:rPr>
        <w:t xml:space="preserve">Обращаем ваше внимание на то, что для полного выделения средств нам потребуется копия ваших утвержденных планов, заверенная печатью Департамента инспекционных служб.</w:t>
      </w:r>
      <w:r w:rsidDel="00000000" w:rsidR="00000000" w:rsidRPr="00000000">
        <w:rPr>
          <w:rFonts w:ascii="Lora" w:cs="Lora" w:eastAsia="Lora" w:hAnsi="Lora"/>
          <w:sz w:val="24"/>
          <w:szCs w:val="24"/>
          <w:rtl w:val="0"/>
        </w:rPr>
        <w:t xml:space="preserve"> Однако вы можете подать заявление, предоставив </w:t>
      </w:r>
      <w:r w:rsidDel="00000000" w:rsidR="00000000" w:rsidRPr="00000000">
        <w:rPr>
          <w:rFonts w:ascii="Lora" w:cs="Lora" w:eastAsia="Lora" w:hAnsi="Lora"/>
          <w:sz w:val="24"/>
          <w:szCs w:val="24"/>
          <w:u w:val="single"/>
          <w:rtl w:val="0"/>
        </w:rPr>
        <w:t xml:space="preserve">черновой</w:t>
      </w:r>
      <w:r w:rsidDel="00000000" w:rsidR="00000000" w:rsidRPr="00000000">
        <w:rPr>
          <w:rFonts w:ascii="Lora" w:cs="Lora" w:eastAsia="Lora" w:hAnsi="Lora"/>
          <w:sz w:val="24"/>
          <w:szCs w:val="24"/>
          <w:rtl w:val="0"/>
        </w:rPr>
        <w:t xml:space="preserve"> вариант плана.</w:t>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Две (2) сметы от лицензированных подрядчиков на стоимость строительства вашей ADU.</w:t>
      </w:r>
      <w:r w:rsidDel="00000000" w:rsidR="00000000" w:rsidRPr="00000000">
        <w:rPr>
          <w:rFonts w:ascii="Lora" w:cs="Lora" w:eastAsia="Lora" w:hAnsi="Lora"/>
          <w:color w:val="091f2f"/>
          <w:sz w:val="24"/>
          <w:szCs w:val="24"/>
          <w:rtl w:val="0"/>
        </w:rPr>
        <w:t xml:space="preserve"> Пожалуйста, приложите копию следующего документа от выбранного вами подрядчика: Свидетельство о регистрации подрядчика по ремонту жилых помещений в штате Массачусетс (HIC), лицензия строительного руководителя (CSL), лицензия на проведение работ с использованием свинца в штате Массачусетс или сертификат EPA на проведение ремонтных работ, а также страхование ответственности подрядчика.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Окончательный вариант </w:t>
      </w:r>
      <w:r w:rsidDel="00000000" w:rsidR="00000000" w:rsidRPr="00000000">
        <w:rPr>
          <w:rFonts w:ascii="Lora" w:cs="Lora" w:eastAsia="Lora" w:hAnsi="Lora"/>
          <w:b w:val="1"/>
          <w:bCs w:val="1"/>
          <w:sz w:val="24"/>
          <w:szCs w:val="24"/>
          <w:rtl w:val="0"/>
        </w:rPr>
        <w:t xml:space="preserve">сметы на строительство ADU, </w:t>
      </w:r>
      <w:r w:rsidDel="00000000" w:rsidR="00000000" w:rsidRPr="00000000">
        <w:rPr>
          <w:rFonts w:ascii="Lora" w:cs="Lora" w:eastAsia="Lora" w:hAnsi="Lora"/>
          <w:sz w:val="24"/>
          <w:szCs w:val="24"/>
          <w:rtl w:val="0"/>
        </w:rPr>
        <w:t xml:space="preserve">содержащий следующую информацию: предполагаемые затраты по проекту (включая все затраты на этапе подготовки к строительству), резервный фонд проекта и подробное описание источников финансирования.</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Заполненная </w:t>
      </w:r>
      <w:r w:rsidDel="00000000" w:rsidR="00000000" w:rsidRPr="00000000">
        <w:rPr>
          <w:rFonts w:ascii="Lora" w:cs="Lora" w:eastAsia="Lora" w:hAnsi="Lora"/>
          <w:b w:val="1"/>
          <w:bCs w:val="1"/>
          <w:sz w:val="24"/>
          <w:szCs w:val="24"/>
          <w:rtl w:val="0"/>
        </w:rPr>
        <w:t xml:space="preserve">форма W-9</w:t>
      </w:r>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Документы, подтверждающие наличие дохода, требуются от всех членов домохозяйства в возрасте 18 лет и старше:</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Копия </w:t>
      </w:r>
      <w:r w:rsidDel="00000000" w:rsidR="00000000" w:rsidRPr="00000000">
        <w:rPr>
          <w:rFonts w:ascii="Lora" w:cs="Lora" w:eastAsia="Lora" w:hAnsi="Lora"/>
          <w:b w:val="1"/>
          <w:bCs w:val="1"/>
          <w:color w:val="091f2f"/>
          <w:sz w:val="24"/>
          <w:szCs w:val="24"/>
          <w:shd w:fill="fff2cc" w:val="clear"/>
          <w:rtl w:val="0"/>
        </w:rPr>
        <w:t xml:space="preserve">последней подписанной федеральной налоговой декларации</w:t>
      </w:r>
      <w:r w:rsidDel="00000000" w:rsidR="00000000" w:rsidRPr="00000000">
        <w:rPr>
          <w:rFonts w:ascii="Lora" w:cs="Lora" w:eastAsia="Lora" w:hAnsi="Lora"/>
          <w:color w:val="091f2f"/>
          <w:sz w:val="24"/>
          <w:szCs w:val="24"/>
          <w:shd w:fill="fff2cc" w:val="clear"/>
          <w:rtl w:val="0"/>
        </w:rPr>
        <w:t xml:space="preserve">, включая форму W-2 и все приложения к ней. (форма IRS 1040, 1040A или 1040EZ).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Если вы являетесь самозанятым, предоставьте отчет о прибылях и убытках за текущий год, подписанный вами и вашим бухгалтером, а также копии федеральных налоговых деклараций за последние два года.</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Расчетные листки за последние 2 месяца</w:t>
      </w:r>
      <w:r w:rsidDel="00000000" w:rsidR="00000000" w:rsidRPr="00000000">
        <w:rPr>
          <w:rFonts w:ascii="Lora" w:cs="Lora" w:eastAsia="Lora" w:hAnsi="Lora"/>
          <w:color w:val="091f2f"/>
          <w:sz w:val="24"/>
          <w:szCs w:val="24"/>
          <w:rtl w:val="0"/>
        </w:rPr>
        <w:t xml:space="preserve"> с указанием валовой заработной платы. Это включает в себя работу на неполный рабочий день, подработки и работу по независимым контрактам, например, в Uber, PostMates, Instacart, Shipt и т. д. Если текущая заработная плата не соответствует, предоставьте, пожалуйста, расчетные листки за последние 6 месяцев.</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Если вы являетесь самозанятым, предоставьте отчет о прибылях и убытках за текущий год, подписанный вами и вашим бухгалтером, а также копии федеральных налоговых деклараций за последние два года, включая форму 1099. Это включает в себя работу на неполный рабочий день, подработки и работу по независимым контрактам, например, в Uber, PostMates, Instacart, Shipt и т. д. </w:t>
      </w:r>
      <w:r w:rsidDel="00000000" w:rsidR="00000000" w:rsidRPr="00000000">
        <w:rPr>
          <w:rFonts w:ascii="Lora" w:cs="Lora" w:eastAsia="Lora" w:hAnsi="Lora"/>
          <w:b w:val="1"/>
          <w:bCs w:val="1"/>
          <w:color w:val="091f2f"/>
          <w:sz w:val="24"/>
          <w:szCs w:val="24"/>
          <w:rtl w:val="0"/>
        </w:rPr>
        <w:t xml:space="preserve">Это требование распространяется также на всех членов домохозяйства в возрасте 18 лет и старше, которые не являются студентами дневной формы обучения.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Если один из совершеннолетних членов домохозяйства в настоящее время безработный, </w:t>
      </w:r>
      <w:r w:rsidDel="00000000" w:rsidR="00000000" w:rsidRPr="00000000">
        <w:rPr>
          <w:rFonts w:ascii="Lora" w:cs="Lora" w:eastAsia="Lora" w:hAnsi="Lora"/>
          <w:color w:val="091f2f"/>
          <w:sz w:val="24"/>
          <w:szCs w:val="24"/>
          <w:rtl w:val="0"/>
        </w:rPr>
        <w:t xml:space="preserve">необходимо предоставить объяснение обстоятельств и справку об отсутствии дохода: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Члены домохозяйства в возрасте 18 лет и старше, </w:t>
      </w:r>
      <w:r w:rsidDel="00000000" w:rsidR="00000000" w:rsidRPr="00000000">
        <w:rPr>
          <w:rFonts w:ascii="Lora" w:cs="Lora" w:eastAsia="Lora" w:hAnsi="Lora"/>
          <w:b w:val="1"/>
          <w:bCs w:val="1"/>
          <w:color w:val="091f2f"/>
          <w:sz w:val="24"/>
          <w:szCs w:val="24"/>
          <w:rtl w:val="0"/>
        </w:rPr>
        <w:t xml:space="preserve">обучающиеся на дневной форме</w:t>
      </w:r>
      <w:r w:rsidDel="00000000" w:rsidR="00000000" w:rsidRPr="00000000">
        <w:rPr>
          <w:rFonts w:ascii="Lora" w:cs="Lora" w:eastAsia="Lora" w:hAnsi="Lora"/>
          <w:color w:val="091f2f"/>
          <w:sz w:val="24"/>
          <w:szCs w:val="24"/>
          <w:rtl w:val="0"/>
        </w:rPr>
        <w:t xml:space="preserve">, должны предоставить выписку из зачетной книжки учебного заведения ИЛИ письмо из своего учебного заведения, подтверждающее их обучение на дневной форме.</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Нередко члены домохозяйства могут получать дополнительный доход помимо заработной платы за работу на полный или неполный день. Вот некоторые распространенные виды дохода, которые учитываются при расчете вашего общего валового дохода: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Пособие по социальному обеспечению — письмо о назначении за текущий год с указанием суммы выплаты за месяц до вычета налогов. Если вам понадобится помощь, обратитесь в местное отделение Управления социального обеспечения по телефону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Пособие для ветеранов — письмо от Управления по делам ветеранов о назначении пособия за текущий год или за текущий месяц.</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Пенсии и выплаты по выходу на пенсию — письмо о назначении пенсии за текущий год или за текущий месяц.</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Алименты на ребенка (даже если вы не получаете выплаты): Постановление суда с указанием суммы к выплате, журнал транзакций использовать нельзя. Если решения суда нет, при необходимости запросите справку о взыскании алиментов на ребенка.</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Пособие по безработице — письмо о назначении с указанием суммы, которую вы получите.</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Документы, подтверждающие наличие активов, требуются от всех членов домохозяйства в возрасте 18 лет и старше:</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Пожалуйста, предоставьте </w:t>
      </w:r>
      <w:r w:rsidDel="00000000" w:rsidR="00000000" w:rsidRPr="00000000">
        <w:rPr>
          <w:rFonts w:ascii="Lora" w:cs="Lora" w:eastAsia="Lora" w:hAnsi="Lora"/>
          <w:b w:val="1"/>
          <w:bCs w:val="1"/>
          <w:i w:val="1"/>
          <w:iCs w:val="1"/>
          <w:color w:val="091f2f"/>
          <w:rtl w:val="0"/>
        </w:rPr>
        <w:t xml:space="preserve">полные банковские выписки за последние три месяца</w:t>
      </w:r>
      <w:r w:rsidDel="00000000" w:rsidR="00000000" w:rsidRPr="00000000">
        <w:rPr>
          <w:rFonts w:ascii="Lora" w:cs="Lora" w:eastAsia="Lora" w:hAnsi="Lora"/>
          <w:i w:val="1"/>
          <w:iCs w:val="1"/>
          <w:color w:val="091f2f"/>
          <w:rtl w:val="0"/>
        </w:rPr>
        <w:t xml:space="preserve"> по следующим счетам. Использование журнала транзакций невозможно.</w:t>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Все расчетные счета: </w:t>
      </w:r>
      <w:r w:rsidDel="00000000" w:rsidR="00000000" w:rsidRPr="00000000">
        <w:rPr>
          <w:rFonts w:ascii="Lora" w:cs="Lora" w:eastAsia="Lora" w:hAnsi="Lora"/>
          <w:color w:val="091f2f"/>
          <w:rtl w:val="0"/>
        </w:rPr>
        <w:t xml:space="preserve">Укажите любые счета, оформленные на ваше имя, имена ваших детей или совместные счета (даже если они не используются).  Необходимо включить все счета (даже совместные счета, оформленные на детей или других лиц), включая совместные счета, даже если вы ими не пользуетесь.</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Все сберегательные счета:</w:t>
      </w:r>
      <w:r w:rsidDel="00000000" w:rsidR="00000000" w:rsidRPr="00000000">
        <w:rPr>
          <w:rFonts w:ascii="Lora" w:cs="Lora" w:eastAsia="Lora" w:hAnsi="Lora"/>
          <w:color w:val="091f2f"/>
          <w:rtl w:val="0"/>
        </w:rPr>
        <w:t xml:space="preserve"> Укажите любые счета, оформленные на ваше имя, имена ваших детей или совместные счета (даже если они не используются). Необходимо включить все счета (даже совместные счета, оформленные на детей или других лиц), включая совместные счета, даже если вы ими не пользуетесь.</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Все платформы онлайн-банкинга</w:t>
      </w:r>
      <w:r w:rsidDel="00000000" w:rsidR="00000000" w:rsidRPr="00000000">
        <w:rPr>
          <w:rFonts w:ascii="Lora" w:cs="Lora" w:eastAsia="Lora" w:hAnsi="Lora"/>
          <w:color w:val="091f2f"/>
          <w:rtl w:val="0"/>
        </w:rPr>
        <w:t xml:space="preserve"> — примеры: счета на Cash App, Venmo, Apple Pay и т. п. Если у вас есть какой-либо из этих счетов на ваше имя, вы ДОЛЖНЫ предоставить документы, даже если вы не пользуетесь этим счетом.</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Примечание: Любые депозиты в размере 100 долларов и более, включая наличные депозиты, без надлежащих документов могут быть учтены как доход. Пожалуйста, предоставьте пояснения к таким депозитам, используя нашу форму пояснения к депозиту BHC.</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Все остальные активы — предоставьте выписку за 1 месяц по любому из следующих пунктов:</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Семейные пенсионные счета, такие как 401(k), 403B, IRA, Roth IRA и пенсия</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Валютный рынок, акции, облигации, брокерские счета, Keogh, казначейские векселя и т. д.</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В выписках должна быть указана годовая процентная доходность (APY) по всем счетам, приносящим проценты.</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Необходимо указать все счета, оформленные на ваше имя или имя ваших детей; это включает в себя и совместные счета с другими лицами, даже если вы ими не пользуетесь. (в выписках должна быть указана годовая процентная доходность (APY) по всем счетам, приносящим проценты.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Следующие документы должны быть предоставлены до выделения средств, но не являются обязательной частью полного пакета документов для подачи заявления.</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Утвержденное разрешение на строительство</w:t>
      </w:r>
      <w:r w:rsidDel="00000000" w:rsidR="00000000" w:rsidRPr="00000000">
        <w:rPr>
          <w:rFonts w:ascii="Lora" w:cs="Lora" w:eastAsia="Lora" w:hAnsi="Lora"/>
          <w:color w:val="091f2f"/>
          <w:rtl w:val="0"/>
        </w:rPr>
        <w:t xml:space="preserve"> вашей ADU. Для выделения средств потребуется копия вашего утвержденного разрешения.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Окончательные планы строительства ADU</w:t>
      </w:r>
      <w:r w:rsidDel="00000000" w:rsidR="00000000" w:rsidRPr="00000000">
        <w:rPr>
          <w:rFonts w:ascii="Lora" w:cs="Lora" w:eastAsia="Lora" w:hAnsi="Lora"/>
          <w:color w:val="091f2f"/>
          <w:rtl w:val="0"/>
        </w:rPr>
        <w:t xml:space="preserve"> утверждены и заверены 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Подтверждение наличия средств</w:t>
      </w:r>
      <w:r w:rsidDel="00000000" w:rsidR="00000000" w:rsidRPr="00000000">
        <w:rPr>
          <w:rFonts w:ascii="Lora" w:cs="Lora" w:eastAsia="Lora" w:hAnsi="Lora"/>
          <w:color w:val="091f2f"/>
          <w:rtl w:val="0"/>
        </w:rPr>
        <w:t xml:space="preserve"> на строительство ADU, превышающих сумму кредита, полученного от Boston Home Center.</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От заявителя может потребоваться дополнительная финансовая информация. Всю запрашиваемую информацию необходимо предоставить в мэрию города Boston.</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Примечания:</w:t>
      </w:r>
      <w:r w:rsidDel="00000000" w:rsidR="00000000" w:rsidRPr="00000000">
        <w:rPr>
          <w:rFonts w:ascii="Lora" w:cs="Lora" w:eastAsia="Lora" w:hAnsi="Lora"/>
          <w:color w:val="091f2f"/>
          <w:shd w:fill="fff2cc" w:val="clear"/>
          <w:rtl w:val="0"/>
        </w:rPr>
        <w:t xml:space="preserve"> Укажите любую дополнительную информацию, которую, по вашему мнению, нам необходимо знать для обработки вашего заявления.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rtl w:val="0"/>
      </w:rPr>
      <w:t xml:space="preserve">Последнее обновление: 16 декабря 2025 г.</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