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vafpar49x9b2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Financial Assistance Program Application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0"/>
        </w:rPr>
        <w:t xml:space="preserve">ADU 经济援助计划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36"/>
          <w:szCs w:val="36"/>
          <w:rtl w:val="0"/>
        </w:rPr>
        <w:t xml:space="preserve">申请材料清单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8"/>
          <w:szCs w:val="28"/>
          <w:rtl w:val="0"/>
        </w:rPr>
        <w:t xml:space="preserve">市长住房办公室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8"/>
          <w:szCs w:val="28"/>
          <w:rtl w:val="0"/>
        </w:rPr>
        <w:t xml:space="preserve">Boston住宅中心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Lora" w:cs="Lora" w:eastAsia="Lora" w:hAnsi="Lora"/>
          <w:b w:val="1"/>
          <w:bCs w:val="1"/>
          <w:color w:val="091f2f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感谢您对</w:t>
      </w: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Boston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住宅中心（Boston Home Center）的关注。以下是您申请时需提交的文件清单。请务必提交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u w:val="single"/>
          <w:shd w:fill="fff2cc" w:val="clear"/>
          <w:rtl w:val="0"/>
        </w:rPr>
        <w:t xml:space="preserve">所有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必需文件。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不完整的申请材料将不予受理。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当您的申请表及以下所有文件准备齐全后，请将其发送至电子邮箱 </w:t>
      </w:r>
      <w:hyperlink r:id="rId6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shd w:fill="fff2cc" w:val="clear"/>
            <w:rtl w:val="0"/>
          </w:rPr>
          <w:t xml:space="preserve">homerepairsubmission@boston.gov</w:t>
        </w:r>
      </w:hyperlink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 或邮寄至：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Boston住宅中心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Attn:Homeowner Assistance Programs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26 Court Street, 8th Floor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sz w:val="24"/>
          <w:szCs w:val="24"/>
          <w:rtl w:val="0"/>
        </w:rPr>
        <w:t xml:space="preserve">Boston, MA.02108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收到您的申请材料后，我们将以书面形式通知您申请状态。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Lora" w:cs="Lora" w:eastAsia="Lora" w:hAnsi="Lora"/>
          <w:color w:val="091f2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  <w:rtl w:val="0"/>
        </w:rPr>
        <w:t xml:space="preserve">所有申请人均需提交以下文件：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已填写并签署的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计划申请表。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申请表中必须列出所有家庭成员。所有实际居住人员（例如，家中存放个人物品、在该地址接收邮件、身份证上的地址为该地址等），即便未在租赁合同中列出，均须列为家庭成员。所有 18 岁及以上的家庭成员（无论是否为业主），都必须提交所需的收入、银行和资产信息。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已填写并签署的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计划披露书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shd w:fill="fff2cc" w:val="clear"/>
          <w:rtl w:val="0"/>
        </w:rPr>
        <w:t xml:space="preserve">。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所有权证明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rtl w:val="0"/>
        </w:rPr>
        <w:t xml:space="preserve">：宅基地和担保契约（也称为权益转让契约）的副本。如果已离异，请提供一份完整的离婚判决书副本，该判决书须已在法院书记官处登记。申请人必须拥有待修缮房产至少十年。权益转让契约的副本可以在 Edward Brooke 法院契约登记处（24 New Chardon Street, Boston）获得，或访问</w:t>
      </w:r>
      <w:hyperlink r:id="rId7">
        <w:r w:rsidDel="00000000" w:rsidR="00000000" w:rsidRPr="00000000">
          <w:rPr>
            <w:rFonts w:ascii="Lora" w:cs="Lora" w:eastAsia="Lora" w:hAnsi="Lora"/>
            <w:color w:val="091f2f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www.suff­olkdeeds.com</w:t>
        </w:r>
      </w:hyperlink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 在线获取。如有一位或多位业主去世，请提供死亡证明。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如果需要，请提交登记契约中列出的所有已故人员的死亡证明原件（如未曾记录于 Suffolk 契据登记处）。死亡证明可在出生、死亡和婚姻登记处领取，地址：City Hall, Room 213, Boston, MA, 02201。</w:t>
      </w:r>
    </w:p>
    <w:p w:rsidR="00000000" w:rsidDel="00000000" w:rsidP="00000000" w:rsidRDefault="00000000" w:rsidRPr="00000000" w14:paraId="00000018">
      <w:pPr>
        <w:spacing w:after="200" w:line="240" w:lineRule="auto"/>
        <w:ind w:left="1440" w:firstLine="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当前业主保险单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的副本。如果房屋位于指定的洪泛区，则需要提供洪水保险证明文件。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当前房产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抵押贷款明细表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shd w:fill="fff2cc" w:val="clear"/>
          <w:rtl w:val="0"/>
        </w:rPr>
        <w:t xml:space="preserve">，包括所有房屋净值贷款或房屋修缮贷款。另请附上一封说明房屋净值贷款用途的信函。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最近的水电气费账单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rtl w:val="0"/>
        </w:rPr>
        <w:t xml:space="preserve">（电费、天然气费和水费）的副本。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拟建 ADU 的建筑平面图（最终版或草稿版均可）。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该图纸必须由持有执照的建筑师或结构工程师绘制。</w:t>
      </w:r>
      <w:r w:rsidDel="00000000" w:rsidR="00000000" w:rsidRPr="00000000">
        <w:rPr>
          <w:rFonts w:ascii="SimSun" w:cs="SimSun" w:eastAsia="SimSun" w:hAnsi="SimSun"/>
          <w:i w:val="1"/>
          <w:iCs w:val="1"/>
          <w:sz w:val="24"/>
          <w:szCs w:val="24"/>
          <w:rtl w:val="0"/>
        </w:rPr>
        <w:t xml:space="preserve">请注意，在完全承诺资金之前，我们需要您提供一份经检查服务部盖章批准的图纸副本。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但是，您也可以使用图纸</w:t>
      </w:r>
      <w:r w:rsidDel="00000000" w:rsidR="00000000" w:rsidRPr="00000000">
        <w:rPr>
          <w:rFonts w:ascii="SimSun" w:cs="SimSun" w:eastAsia="SimSun" w:hAnsi="SimSun"/>
          <w:sz w:val="24"/>
          <w:szCs w:val="24"/>
          <w:u w:val="single"/>
          <w:rtl w:val="0"/>
        </w:rPr>
        <w:t xml:space="preserve">草稿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进行申请。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持牌承包商对拟建 ADU 施工成本的两（2）份估算。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请附上您所选承包商提供的以下文件副本：马萨诸塞州住宅装修承包商（HIC）注册证书、营建监工许可证（CSL）、马萨诸塞州铅安全装修许可证或 EPA 装修证书，以及承包商责任保险。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最终版的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 ADU 预算陈述，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包含以下信息：预计项目成本（包括所有施工前成本）、项目应急预算和明确列出的融资来源。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已填写的 </w:t>
      </w:r>
      <w:r w:rsidDel="00000000" w:rsidR="00000000" w:rsidRPr="00000000">
        <w:rPr>
          <w:rFonts w:ascii="SimSun" w:cs="SimSun" w:eastAsia="SimSun" w:hAnsi="SimSun"/>
          <w:b w:val="1"/>
          <w:bCs w:val="1"/>
          <w:sz w:val="24"/>
          <w:szCs w:val="24"/>
          <w:rtl w:val="0"/>
        </w:rPr>
        <w:t xml:space="preserve">W-9 表格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20">
      <w:pPr>
        <w:spacing w:after="200" w:line="240" w:lineRule="auto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  <w:u w:val="single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u w:val="single"/>
          <w:rtl w:val="0"/>
        </w:rPr>
        <w:t xml:space="preserve">所有 18 岁及以上的家庭成员都必须提供收入证明：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shd w:fill="fff2cc" w:val="clear"/>
          <w:rtl w:val="0"/>
        </w:rPr>
        <w:t xml:space="preserve">最近签署的联邦报税表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副本，包括 W-2 表格和所有附表。（美国国税局表格 1040、1040A 或 1040EZ）。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  <w:shd w:fill="fff2cc" w:val="clear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shd w:fill="fff2cc" w:val="clear"/>
          <w:rtl w:val="0"/>
        </w:rPr>
        <w:t xml:space="preserve">如果您是自雇人士，请提供由您和您的会计师签署的本年度迄今的损益表，以及过去两年的联邦报税表副本。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最近 2 个月的工资单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sz w:val="24"/>
          <w:szCs w:val="24"/>
          <w:rtl w:val="0"/>
        </w:rPr>
        <w:t xml:space="preserve">，显示工资总额。这包括兼职工作、副业、独立合同工，例如 Uber、Postmates、Instacart、Shipt 等。如果目前的工资不稳定，请提供最近 6 个月的工资单。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如果您是自雇人士，请提供由您和您的会计师签署的本年度迄今的损益表，以及过去两年的联邦报税表副本（包括 1099 表）。这包括兼职工作、副业、独立合同工，例如 Uber、Postmates、Instacart、Shipt 等。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此要求同样适用于所有18 岁及以上且非全日制学生的家庭成员。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pacing w:after="200" w:line="240" w:lineRule="auto"/>
        <w:ind w:left="144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如果成年家庭成员目前待业，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则必须提交情况说明文件和无收入宣誓书：</w:t>
      </w:r>
      <w:hyperlink r:id="rId9">
        <w:r w:rsidDel="00000000" w:rsidR="00000000" w:rsidRPr="00000000">
          <w:rPr>
            <w:rFonts w:ascii="Lora" w:cs="Lora" w:eastAsia="Lora" w:hAnsi="Lora"/>
            <w:color w:val="1155cc"/>
            <w:sz w:val="24"/>
            <w:szCs w:val="24"/>
            <w:u w:val="single"/>
            <w:rtl w:val="0"/>
          </w:rPr>
          <w:t xml:space="preserve">bit.ly/noincomeaffidavit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  <w:sz w:val="24"/>
          <w:szCs w:val="24"/>
        </w:rPr>
      </w:pP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18 岁及以上且为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z w:val="24"/>
          <w:szCs w:val="24"/>
          <w:rtl w:val="0"/>
        </w:rPr>
        <w:t xml:space="preserve">全日制学生</w:t>
      </w:r>
      <w:r w:rsidDel="00000000" w:rsidR="00000000" w:rsidRPr="00000000">
        <w:rPr>
          <w:rFonts w:ascii="SimSun" w:cs="SimSun" w:eastAsia="SimSun" w:hAnsi="SimSun"/>
          <w:color w:val="091f2f"/>
          <w:sz w:val="24"/>
          <w:szCs w:val="24"/>
          <w:rtl w:val="0"/>
        </w:rPr>
        <w:t xml:space="preserve">的家庭成员必须提供学校成绩单或所在机构出具的全日制在读证明。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40" w:lineRule="auto"/>
        <w:jc w:val="center"/>
        <w:rPr>
          <w:rFonts w:ascii="Lora" w:cs="Lora" w:eastAsia="Lora" w:hAnsi="Lora"/>
          <w:b w:val="1"/>
          <w:bCs w:val="1"/>
          <w:i w:val="1"/>
          <w:iCs w:val="1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color w:val="091f2f"/>
          <w:rtl w:val="0"/>
        </w:rPr>
        <w:t xml:space="preserve">除全职或兼职薪资外，家庭成员的收入组成通常还包括其他渠道。以下为计入家庭总收入的常见来源：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社保金：显示每月总金额的当前年度通知函。如果您需要帮助，请致电 (800) 772-1213 联系当地的社会保障办公室。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退役金：退伍军人管理局出具的当前年度或月度通知函。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养老金和退休金：当前年度或每月通知函。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子女抚养费（即使未收到款项）：需提供法院命令，其中需注明应付金额，交易记录不予认可。如果没有法院命令，请根据需要申请子女抚养费宣誓书。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00" w:line="240" w:lineRule="auto"/>
        <w:ind w:left="720" w:hanging="360"/>
        <w:rPr>
          <w:rFonts w:ascii="Lora" w:cs="Lora" w:eastAsia="Lora" w:hAnsi="Lora"/>
          <w:color w:val="091f2f"/>
          <w:sz w:val="21"/>
          <w:szCs w:val="21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失业救济金：显示应领取金额的通知函。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40" w:lineRule="auto"/>
        <w:jc w:val="both"/>
        <w:rPr>
          <w:rFonts w:ascii="Lora" w:cs="Lora" w:eastAsia="Lora" w:hAnsi="Lora"/>
          <w:b w:val="1"/>
          <w:bCs w:val="1"/>
          <w:i w:val="1"/>
          <w:iCs w:val="1"/>
          <w:color w:val="091f2f"/>
          <w:u w:val="single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u w:val="single"/>
          <w:rtl w:val="0"/>
        </w:rPr>
        <w:t xml:space="preserve">所有 18 岁及以上的家庭成员都必须提供资产证明文件：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color w:val="091f2f"/>
          <w:rtl w:val="0"/>
        </w:rPr>
        <w:t xml:space="preserve">请提供以下项目的</w:t>
      </w:r>
      <w:r w:rsidDel="00000000" w:rsidR="00000000" w:rsidRPr="00000000">
        <w:rPr>
          <w:rFonts w:ascii="SimSun" w:cs="SimSun" w:eastAsia="SimSun" w:hAnsi="SimSun"/>
          <w:b w:val="1"/>
          <w:bCs w:val="1"/>
          <w:i w:val="1"/>
          <w:iCs w:val="1"/>
          <w:color w:val="091f2f"/>
          <w:rtl w:val="0"/>
        </w:rPr>
        <w:t xml:space="preserve">最近三个月完整银行对账单</w:t>
      </w:r>
      <w:r w:rsidDel="00000000" w:rsidR="00000000" w:rsidRPr="00000000">
        <w:rPr>
          <w:rFonts w:ascii="Arial Unicode MS" w:cs="Arial Unicode MS" w:eastAsia="Arial Unicode MS" w:hAnsi="Arial Unicode MS"/>
          <w:i w:val="1"/>
          <w:iCs w:val="1"/>
          <w:color w:val="091f2f"/>
          <w:rtl w:val="0"/>
        </w:rPr>
        <w:t xml:space="preserve">。交易记录将不予接受。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before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所有支票账户：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包括您名下、您子女名下或联名的账户（即使未使用）。 必须提供所有账户（含子女或其他人的账户），包括联名账户（即使未使用）。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所有储蓄账户：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包括您名下、您子女名下或联名的账户（即使未使用）。必须提供所有账户（含子女或其他人的账户），包括联名账户（即使未使用）。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所有网上银行平台：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例如，Cash App、Venmo、Apple Pay 等账户。如果您名下有任何此类账户，即便您未使用该账户，也必须提交相关文件。</w:t>
      </w:r>
    </w:p>
    <w:p w:rsidR="00000000" w:rsidDel="00000000" w:rsidP="00000000" w:rsidRDefault="00000000" w:rsidRPr="00000000" w14:paraId="00000032">
      <w:pPr>
        <w:spacing w:after="240" w:before="240" w:line="240" w:lineRule="auto"/>
        <w:ind w:right="60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请注意：任何 100 美元或以上的存款，包括现金存款，若无适当文件证明，均可算作收入。请使用我们的 BHC 存款说明单对此类存款进行解释。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240" w:lineRule="auto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SimSun" w:cs="SimSun" w:eastAsia="SimSun" w:hAnsi="SimSun"/>
          <w:i w:val="1"/>
          <w:iCs w:val="1"/>
          <w:color w:val="091f2f"/>
          <w:rtl w:val="0"/>
        </w:rPr>
        <w:t xml:space="preserve">所有其他资产，请提交以下各项账户的近 1 个月对账单：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before="24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家庭退休账户，例如 401 (k)、403B、IRA、Roth IRA 以及养老金账户。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货币市场基金、股票、债券、证券账户、基奥计划、国库券等。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对账单必须显示所有计息账户的年收益率（APY）。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200" w:line="240" w:lineRule="auto"/>
        <w:ind w:left="720" w:hanging="360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必须包含所有以您或您子女名义开设的账户，包括与他人的联名账户，即使您未使用该账户。对账单必须注明所有计息账户的年收益率（APY）。 </w:t>
      </w:r>
    </w:p>
    <w:p w:rsidR="00000000" w:rsidDel="00000000" w:rsidP="00000000" w:rsidRDefault="00000000" w:rsidRPr="00000000" w14:paraId="00000038">
      <w:pPr>
        <w:spacing w:after="200"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91f2f"/>
          <w:rtl w:val="0"/>
        </w:rPr>
        <w:t xml:space="preserve">下列文件须在资金承诺前提交，但不属于完整申请材料的必要部分。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拟建 ADU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 已获批准的建筑许可证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rtl w:val="0"/>
        </w:rPr>
        <w:t xml:space="preserve">。在承诺资金之前，我们需要您提供已批准许可证的副本。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已由 ISD 盖章批准的最终版 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ADU 设计方案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rtl w:val="0"/>
        </w:rPr>
        <w:t xml:space="preserve">。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200" w:line="240" w:lineRule="auto"/>
        <w:ind w:left="720" w:hanging="360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ADU 建造的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可用资金证明</w:t>
      </w:r>
      <w:r w:rsidDel="00000000" w:rsidR="00000000" w:rsidRPr="00000000">
        <w:rPr>
          <w:rFonts w:ascii="Arial Unicode MS" w:cs="Arial Unicode MS" w:eastAsia="Arial Unicode MS" w:hAnsi="Arial Unicode MS"/>
          <w:color w:val="091f2f"/>
          <w:rtl w:val="0"/>
        </w:rPr>
        <w:t xml:space="preserve">，该资金超过您从波士顿住房中心获得的贷款金额。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Lora" w:cs="Lora" w:eastAsia="Lora" w:hAnsi="Lora"/>
          <w:b w:val="1"/>
          <w:bCs w:val="1"/>
          <w:color w:val="091f2f"/>
          <w:rtl w:val="0"/>
        </w:rPr>
        <w:t xml:space="preserve">         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Lora" w:cs="Lora" w:eastAsia="Lora" w:hAnsi="Lora"/>
          <w:b w:val="1"/>
          <w:bCs w:val="1"/>
          <w:color w:val="091f2f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申请人可能还需按要求提供其他财务资料。所有相关信息均须提交至</w:t>
      </w:r>
      <w:r w:rsidDel="00000000" w:rsidR="00000000" w:rsidRPr="00000000">
        <w:rPr>
          <w:rFonts w:ascii="SimSun" w:cs="SimSun" w:eastAsia="SimSun" w:hAnsi="SimSun"/>
          <w:color w:val="091f2f"/>
          <w:rtl w:val="0"/>
        </w:rPr>
        <w:t xml:space="preserve">波士顿</w:t>
      </w: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rtl w:val="0"/>
        </w:rPr>
        <w:t xml:space="preserve">市政府。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Lora" w:cs="Lora" w:eastAsia="Lora" w:hAnsi="Lora"/>
          <w:color w:val="091f2f"/>
          <w:shd w:fill="fff2cc" w:val="clear"/>
        </w:rPr>
      </w:pPr>
      <w:r w:rsidDel="00000000" w:rsidR="00000000" w:rsidRPr="00000000">
        <w:rPr>
          <w:rFonts w:ascii="SimSun" w:cs="SimSun" w:eastAsia="SimSun" w:hAnsi="SimSun"/>
          <w:b w:val="1"/>
          <w:bCs w:val="1"/>
          <w:color w:val="091f2f"/>
          <w:shd w:fill="fff2cc" w:val="clear"/>
          <w:rtl w:val="0"/>
        </w:rPr>
        <w:t xml:space="preserve">备注：</w:t>
      </w:r>
      <w:r w:rsidDel="00000000" w:rsidR="00000000" w:rsidRPr="00000000">
        <w:rPr>
          <w:rFonts w:ascii="SimSun" w:cs="SimSun" w:eastAsia="SimSun" w:hAnsi="SimSun"/>
          <w:color w:val="091f2f"/>
          <w:shd w:fill="fff2cc" w:val="clear"/>
          <w:rtl w:val="0"/>
        </w:rPr>
        <w:t xml:space="preserve">若有任何有助于我们处理您申请的补充信息，请在此说明。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Montserrat" w:cs="Montserrat" w:eastAsia="Montserrat" w:hAnsi="Montserrat"/>
          <w:b w:val="1"/>
          <w:bCs w:val="1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Montserrat" w:cs="Montserrat" w:eastAsia="Montserrat" w:hAnsi="Montserrat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color w:val="091f2f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Montserrat" w:cs="Montserrat" w:eastAsia="Montserrat" w:hAnsi="Montserrat"/>
          <w:i w:val="1"/>
          <w:iCs w:val="1"/>
          <w:color w:val="091f2f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Lora" w:cs="Lora" w:eastAsia="Lora" w:hAnsi="Lora"/>
          <w:i w:val="1"/>
          <w:iCs w:val="1"/>
          <w:color w:val="091f2f"/>
        </w:rPr>
      </w:pPr>
      <w:r w:rsidDel="00000000" w:rsidR="00000000" w:rsidRPr="00000000">
        <w:rPr>
          <w:rFonts w:ascii="Lora" w:cs="Lora" w:eastAsia="Lora" w:hAnsi="Lora"/>
          <w:i w:val="1"/>
          <w:iCs w:val="1"/>
          <w:color w:val="091f2f"/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Lora" w:cs="Lora" w:eastAsia="Lora" w:hAnsi="Lora"/>
          <w:color w:val="091f2f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footerReference r:id="rId10" w:type="default"/>
      <w:type w:val="nextPage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>
        <w:rFonts w:ascii="Lora" w:cs="Lora" w:eastAsia="Lora" w:hAnsi="Lora"/>
        <w:i w:val="1"/>
        <w:iCs w:val="1"/>
      </w:rPr>
    </w:pPr>
    <w:r w:rsidDel="00000000" w:rsidR="00000000" w:rsidRPr="00000000">
      <w:rPr>
        <w:rFonts w:ascii="SimSun" w:cs="SimSun" w:eastAsia="SimSun" w:hAnsi="SimSun"/>
        <w:i w:val="1"/>
        <w:iCs w:val="1"/>
        <w:rtl w:val="0"/>
      </w:rPr>
      <w:t xml:space="preserve">最后更新于 2025 年 12 月 16 日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://bit.ly/noincomeaffidavit" TargetMode="External"/><Relationship Id="rId5" Type="http://schemas.openxmlformats.org/officeDocument/2006/relationships/styles" Target="styles.xml"/><Relationship Id="rId6" Type="http://schemas.openxmlformats.org/officeDocument/2006/relationships/hyperlink" Target="mailto:homerepairsubmission@boston.gov" TargetMode="External"/><Relationship Id="rId7" Type="http://schemas.openxmlformats.org/officeDocument/2006/relationships/hyperlink" Target="http://www.suolkdeeds.com/" TargetMode="External"/><Relationship Id="rId8" Type="http://schemas.openxmlformats.org/officeDocument/2006/relationships/hyperlink" Target="http://www.suf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